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7AEF304B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B77C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B7F8789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2F069F4F" w:rsidR="002F28CC" w:rsidRPr="0001415A" w:rsidRDefault="00FB77C5" w:rsidP="0018138F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77C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DANIŞTAY VERGİ DAVA DAİRELERİ KURULU'NUN E-TEBLİGATA İLİŞKİN KARARI.</w:t>
            </w:r>
          </w:p>
        </w:tc>
      </w:tr>
    </w:tbl>
    <w:p w14:paraId="33E8BE35" w14:textId="77777777" w:rsidR="002F28CC" w:rsidRDefault="002F28CC" w:rsidP="002F28CC">
      <w:pPr>
        <w:spacing w:line="330" w:lineRule="atLeast"/>
        <w:textAlignment w:val="baseline"/>
        <w:rPr>
          <w:b/>
          <w:bCs/>
        </w:rPr>
      </w:pPr>
    </w:p>
    <w:p w14:paraId="032491C2" w14:textId="0043ED3C" w:rsidR="00664B38" w:rsidRDefault="00664B38" w:rsidP="00C16514">
      <w:pPr>
        <w:rPr>
          <w:rFonts w:asciiTheme="majorHAnsi" w:hAnsiTheme="majorHAnsi" w:cstheme="majorHAnsi"/>
          <w:sz w:val="22"/>
          <w:szCs w:val="22"/>
        </w:rPr>
      </w:pPr>
    </w:p>
    <w:p w14:paraId="79ABF7C9" w14:textId="4595B534" w:rsidR="00FB77C5" w:rsidRPr="00ED7AD7" w:rsidRDefault="00FB77C5" w:rsidP="00FB77C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7AD7">
        <w:rPr>
          <w:rFonts w:asciiTheme="majorHAnsi" w:hAnsiTheme="majorHAnsi" w:cstheme="majorHAnsi"/>
          <w:b/>
          <w:bCs/>
          <w:sz w:val="22"/>
          <w:szCs w:val="22"/>
        </w:rPr>
        <w:t>DANIŞTAY VERGİ DAVA DAİRELERİ KURULU'NUN</w:t>
      </w:r>
      <w:r w:rsidRPr="00ED7AD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D7AD7">
        <w:rPr>
          <w:rFonts w:asciiTheme="majorHAnsi" w:hAnsiTheme="majorHAnsi" w:cstheme="majorHAnsi"/>
          <w:b/>
          <w:bCs/>
          <w:sz w:val="22"/>
          <w:szCs w:val="22"/>
        </w:rPr>
        <w:t>E-TEBLİGATA İLİŞKİN KARARI</w:t>
      </w:r>
      <w:r w:rsidRPr="00ED7AD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F97607F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</w:p>
    <w:p w14:paraId="7D6FE3F5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r w:rsidRPr="00ED7AD7">
        <w:rPr>
          <w:rFonts w:asciiTheme="majorHAnsi" w:hAnsiTheme="majorHAnsi" w:cstheme="majorHAnsi"/>
          <w:sz w:val="22"/>
          <w:szCs w:val="22"/>
        </w:rPr>
        <w:t>Danıştay VDDK E.2021/2, K.2021/4 sayılı Kararı ile Gaziantep Bölge İdare Mahkemesi</w:t>
      </w:r>
    </w:p>
    <w:p w14:paraId="488917E1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r w:rsidRPr="00ED7AD7">
        <w:rPr>
          <w:rFonts w:asciiTheme="majorHAnsi" w:hAnsiTheme="majorHAnsi" w:cstheme="majorHAnsi"/>
          <w:sz w:val="22"/>
          <w:szCs w:val="22"/>
        </w:rPr>
        <w:t>Başkanlar Kurulu tarafından talep edilen BİM kararları arasındaki aykırılıkların giderilmesi</w:t>
      </w:r>
    </w:p>
    <w:p w14:paraId="4E65DF8A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istemi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nedeniyle karar vermiştir. Aykırılıkların özü 213 sayılı Vergi Usul Kanunu’nun 107/A</w:t>
      </w:r>
    </w:p>
    <w:p w14:paraId="353D91F1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maddesi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uyarınca yapılan tebligatlarda SMS bilgilendirme mesajının gönderilmemesinin</w:t>
      </w:r>
    </w:p>
    <w:p w14:paraId="1614981B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tebligata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etkisi üzerinedir.</w:t>
      </w:r>
    </w:p>
    <w:p w14:paraId="2F1BF736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r w:rsidRPr="00ED7AD7">
        <w:rPr>
          <w:rFonts w:asciiTheme="majorHAnsi" w:hAnsiTheme="majorHAnsi" w:cstheme="majorHAnsi"/>
          <w:sz w:val="22"/>
          <w:szCs w:val="22"/>
        </w:rPr>
        <w:t>Danıştay VDDK E.2021/2, K.2021/4 sayılı Kararı ile Gaziantep Bölge İdare Mahkemesi</w:t>
      </w:r>
    </w:p>
    <w:p w14:paraId="5EE79D52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r w:rsidRPr="00ED7AD7">
        <w:rPr>
          <w:rFonts w:asciiTheme="majorHAnsi" w:hAnsiTheme="majorHAnsi" w:cstheme="majorHAnsi"/>
          <w:sz w:val="22"/>
          <w:szCs w:val="22"/>
        </w:rPr>
        <w:t>Başkanlar Kurulu tarafından talep edilen BİM kararları arasındaki aykırılıkların giderilmesi</w:t>
      </w:r>
    </w:p>
    <w:p w14:paraId="768B304C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istemini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görüşmüş ve K.2021/4 sayılı kararı ile VUK 107/A maddesi uyarınca elektronik</w:t>
      </w:r>
    </w:p>
    <w:p w14:paraId="54C8C7D2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tebligatın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muhatabın elektronik adresin ulaştığı tarihi izleyen 5’inci günün sonunda yapılmış</w:t>
      </w:r>
    </w:p>
    <w:p w14:paraId="35A6B901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sayılacağının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öngörüldüğünü, 456 sıra </w:t>
      </w:r>
      <w:proofErr w:type="spellStart"/>
      <w:r w:rsidRPr="00ED7AD7">
        <w:rPr>
          <w:rFonts w:asciiTheme="majorHAnsi" w:hAnsiTheme="majorHAnsi" w:cstheme="majorHAnsi"/>
          <w:sz w:val="22"/>
          <w:szCs w:val="22"/>
        </w:rPr>
        <w:t>No’lu</w:t>
      </w:r>
      <w:proofErr w:type="spellEnd"/>
      <w:r w:rsidRPr="00ED7AD7">
        <w:rPr>
          <w:rFonts w:asciiTheme="majorHAnsi" w:hAnsiTheme="majorHAnsi" w:cstheme="majorHAnsi"/>
          <w:sz w:val="22"/>
          <w:szCs w:val="22"/>
        </w:rPr>
        <w:t xml:space="preserve"> Vergi Usul Kanunu Genel Tebliği’nde değişiklik</w:t>
      </w:r>
    </w:p>
    <w:p w14:paraId="58141C8D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yapan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511 sıra </w:t>
      </w:r>
      <w:proofErr w:type="spellStart"/>
      <w:r w:rsidRPr="00ED7AD7">
        <w:rPr>
          <w:rFonts w:asciiTheme="majorHAnsi" w:hAnsiTheme="majorHAnsi" w:cstheme="majorHAnsi"/>
          <w:sz w:val="22"/>
          <w:szCs w:val="22"/>
        </w:rPr>
        <w:t>No’lu</w:t>
      </w:r>
      <w:proofErr w:type="spellEnd"/>
      <w:r w:rsidRPr="00ED7AD7">
        <w:rPr>
          <w:rFonts w:asciiTheme="majorHAnsi" w:hAnsiTheme="majorHAnsi" w:cstheme="majorHAnsi"/>
          <w:sz w:val="22"/>
          <w:szCs w:val="22"/>
        </w:rPr>
        <w:t xml:space="preserve"> Genel Tebliğ’in Elektronik Tebligat Yönetmeliği’ne paralel şekilde</w:t>
      </w:r>
    </w:p>
    <w:p w14:paraId="1698281D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düzenleme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yaptığını, mükelleflere sunulan bilgilendirme tercihleri bölümünde yer alan SMS</w:t>
      </w:r>
    </w:p>
    <w:p w14:paraId="6647A0AC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>/veya e-posta yoluyla bilgilendirme taleplerine ilişkin seçenekleri işaretleyen mükelleflerin</w:t>
      </w:r>
    </w:p>
    <w:p w14:paraId="64EBD2E7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tebligatların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SMS veya e-posta ile bildirileceği yönünde haklı bir beklenti oluşacaksa da,</w:t>
      </w:r>
    </w:p>
    <w:p w14:paraId="4606E1C0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ED7AD7">
        <w:rPr>
          <w:rFonts w:asciiTheme="majorHAnsi" w:hAnsiTheme="majorHAnsi" w:cstheme="majorHAnsi"/>
          <w:sz w:val="22"/>
          <w:szCs w:val="22"/>
        </w:rPr>
        <w:t>VUK’ta</w:t>
      </w:r>
      <w:proofErr w:type="spellEnd"/>
      <w:r w:rsidRPr="00ED7AD7">
        <w:rPr>
          <w:rFonts w:asciiTheme="majorHAnsi" w:hAnsiTheme="majorHAnsi" w:cstheme="majorHAnsi"/>
          <w:sz w:val="22"/>
          <w:szCs w:val="22"/>
        </w:rPr>
        <w:t xml:space="preserve"> açık hüküm bulunmayan hallerde Tebligat Kanunu hükümlerinin uygulanacağını</w:t>
      </w:r>
    </w:p>
    <w:p w14:paraId="110F69EE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düzenleyen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Tebligat Kanunu’nun 51’inci maddesi ve Elektronik Tebligat Yönetmeliği’nin</w:t>
      </w:r>
    </w:p>
    <w:p w14:paraId="175F8783" w14:textId="77777777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r w:rsidRPr="00ED7AD7">
        <w:rPr>
          <w:rFonts w:asciiTheme="majorHAnsi" w:hAnsiTheme="majorHAnsi" w:cstheme="majorHAnsi"/>
          <w:sz w:val="22"/>
          <w:szCs w:val="22"/>
        </w:rPr>
        <w:t>10’uncu maddesi uyarınca SMS ve/veya e-posta ile bilgilendirme mesajı gönderilmemesinin</w:t>
      </w:r>
    </w:p>
    <w:p w14:paraId="019AAA10" w14:textId="46DE5AF8" w:rsidR="00FB77C5" w:rsidRPr="00ED7AD7" w:rsidRDefault="00FB77C5" w:rsidP="00FB77C5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tebligatın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geçerliliğini etkilemeyeceğinin açıkça düzenlenmesi nedeniyle söz konusu haklı</w:t>
      </w:r>
    </w:p>
    <w:p w14:paraId="76410BC9" w14:textId="1D2F7CDE" w:rsidR="00FB77C5" w:rsidRPr="00ED7AD7" w:rsidRDefault="00FB77C5" w:rsidP="00C16514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sz w:val="22"/>
          <w:szCs w:val="22"/>
        </w:rPr>
        <w:t>beklentinin</w:t>
      </w:r>
      <w:proofErr w:type="gramEnd"/>
      <w:r w:rsidRPr="00ED7AD7">
        <w:rPr>
          <w:rFonts w:asciiTheme="majorHAnsi" w:hAnsiTheme="majorHAnsi" w:cstheme="majorHAnsi"/>
          <w:sz w:val="22"/>
          <w:szCs w:val="22"/>
        </w:rPr>
        <w:t xml:space="preserve"> geçerli olamayacağı değerlendirmesini yapmıştır.</w:t>
      </w:r>
    </w:p>
    <w:p w14:paraId="70BD12AE" w14:textId="208298D8" w:rsidR="00FB77C5" w:rsidRPr="00ED7AD7" w:rsidRDefault="00FB77C5" w:rsidP="00C16514">
      <w:pPr>
        <w:rPr>
          <w:rFonts w:asciiTheme="majorHAnsi" w:hAnsiTheme="majorHAnsi" w:cstheme="majorHAnsi"/>
          <w:sz w:val="22"/>
          <w:szCs w:val="22"/>
        </w:rPr>
      </w:pPr>
    </w:p>
    <w:p w14:paraId="016FBE5D" w14:textId="77777777" w:rsidR="00FB77C5" w:rsidRPr="00ED7AD7" w:rsidRDefault="00FB77C5" w:rsidP="00FB77C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7AD7">
        <w:rPr>
          <w:rFonts w:asciiTheme="majorHAnsi" w:hAnsiTheme="majorHAnsi" w:cstheme="majorHAnsi"/>
          <w:b/>
          <w:bCs/>
          <w:sz w:val="22"/>
          <w:szCs w:val="22"/>
        </w:rPr>
        <w:t>Sonuç olarak Danıştay VDDK kararında, muhatabın cep telefonuna SMS veya e-posta</w:t>
      </w:r>
    </w:p>
    <w:p w14:paraId="36E697F4" w14:textId="77777777" w:rsidR="00FB77C5" w:rsidRPr="00ED7AD7" w:rsidRDefault="00FB77C5" w:rsidP="00FB77C5">
      <w:pPr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b/>
          <w:bCs/>
          <w:sz w:val="22"/>
          <w:szCs w:val="22"/>
        </w:rPr>
        <w:t>adresine</w:t>
      </w:r>
      <w:proofErr w:type="gramEnd"/>
      <w:r w:rsidRPr="00ED7AD7">
        <w:rPr>
          <w:rFonts w:asciiTheme="majorHAnsi" w:hAnsiTheme="majorHAnsi" w:cstheme="majorHAnsi"/>
          <w:b/>
          <w:bCs/>
          <w:sz w:val="22"/>
          <w:szCs w:val="22"/>
        </w:rPr>
        <w:t xml:space="preserve"> mail yoluyla tebligatla ilgili bilgilendirme mesajı gönderilmemesinin tebligatın süresini</w:t>
      </w:r>
    </w:p>
    <w:p w14:paraId="4D2E6538" w14:textId="47603EE3" w:rsidR="00FB77C5" w:rsidRPr="00ED7AD7" w:rsidRDefault="00FB77C5" w:rsidP="00FB77C5">
      <w:pPr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ED7AD7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ED7AD7">
        <w:rPr>
          <w:rFonts w:asciiTheme="majorHAnsi" w:hAnsiTheme="majorHAnsi" w:cstheme="majorHAnsi"/>
          <w:b/>
          <w:bCs/>
          <w:sz w:val="22"/>
          <w:szCs w:val="22"/>
        </w:rPr>
        <w:t xml:space="preserve"> geçerliliğini etkilemeyeceği sonucuna ulaşmıştır.</w:t>
      </w:r>
    </w:p>
    <w:p w14:paraId="4D70D615" w14:textId="7CD1C721" w:rsidR="00FB77C5" w:rsidRDefault="00FB77C5" w:rsidP="00C16514">
      <w:pPr>
        <w:rPr>
          <w:rFonts w:asciiTheme="majorHAnsi" w:hAnsiTheme="majorHAnsi" w:cstheme="majorHAnsi"/>
          <w:sz w:val="22"/>
          <w:szCs w:val="22"/>
        </w:rPr>
      </w:pPr>
    </w:p>
    <w:p w14:paraId="0BF251C2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6A374036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p w14:paraId="64A7556B" w14:textId="77777777" w:rsidR="00664B38" w:rsidRPr="00664B38" w:rsidRDefault="00664B38" w:rsidP="00664B3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CA295C" w14:textId="7DA16D95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F5F20D" w14:textId="5A53BF8D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9E87477" w14:textId="45C8D6D1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E5E4BF" w14:textId="42853E8A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BD1518" w14:textId="4CDEEED8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F7DA5FE" w14:textId="77777777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0BAE" w14:textId="77777777" w:rsidR="005B66DC" w:rsidRDefault="005B66DC" w:rsidP="006A7CD4">
      <w:r>
        <w:separator/>
      </w:r>
    </w:p>
  </w:endnote>
  <w:endnote w:type="continuationSeparator" w:id="0">
    <w:p w14:paraId="03F2615C" w14:textId="77777777" w:rsidR="005B66DC" w:rsidRDefault="005B66DC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D7F0" w14:textId="77777777" w:rsidR="005B66DC" w:rsidRDefault="005B66DC" w:rsidP="006A7CD4">
      <w:r>
        <w:separator/>
      </w:r>
    </w:p>
  </w:footnote>
  <w:footnote w:type="continuationSeparator" w:id="0">
    <w:p w14:paraId="4B341CCD" w14:textId="77777777" w:rsidR="005B66DC" w:rsidRDefault="005B66DC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66AD0"/>
    <w:rsid w:val="00170933"/>
    <w:rsid w:val="00173778"/>
    <w:rsid w:val="001811B2"/>
    <w:rsid w:val="0018138F"/>
    <w:rsid w:val="00182C0C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4A32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B66DC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2021-11-22T07:35:00Z</dcterms:created>
  <dcterms:modified xsi:type="dcterms:W3CDTF">2021-11-22T07:35:00Z</dcterms:modified>
</cp:coreProperties>
</file>