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00A8070" w:rsidR="002F28CC" w:rsidRPr="00664B38" w:rsidRDefault="00512410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232DEA5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D6CC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52BE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686BB404" w:rsidR="002F28CC" w:rsidRPr="00CB2165" w:rsidRDefault="00CB2165" w:rsidP="00CB2165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B216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TÜRK LİRASI MEVDUAT VE KATILMA HESAPLARINA DÖNÜŞÜMÜN DESTEKLENMESİ HAKKINDA</w:t>
            </w:r>
            <w:r w:rsidRPr="00CB216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B216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TEBLİĞ YAYIMLANDI.</w:t>
            </w:r>
          </w:p>
        </w:tc>
      </w:tr>
      <w:bookmarkEnd w:id="0"/>
    </w:tbl>
    <w:p w14:paraId="64C042A6" w14:textId="448E6E77" w:rsidR="00733BDC" w:rsidRDefault="00733BDC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41A466C" w14:textId="4580D961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2BE8">
        <w:rPr>
          <w:rFonts w:asciiTheme="majorHAnsi" w:hAnsiTheme="majorHAnsi" w:cstheme="majorHAnsi"/>
          <w:b/>
          <w:bCs/>
          <w:sz w:val="22"/>
          <w:szCs w:val="22"/>
        </w:rPr>
        <w:t>TÜRK LİRASI MEVDUAT VE KATILMA HESAPLARINA</w:t>
      </w:r>
      <w:r w:rsidR="00CB216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52BE8">
        <w:rPr>
          <w:rFonts w:asciiTheme="majorHAnsi" w:hAnsiTheme="majorHAnsi" w:cstheme="majorHAnsi"/>
          <w:b/>
          <w:bCs/>
          <w:sz w:val="22"/>
          <w:szCs w:val="22"/>
        </w:rPr>
        <w:t>DÖNÜŞÜMÜN DESTEKLENMESİ HAKKINDA</w:t>
      </w:r>
    </w:p>
    <w:p w14:paraId="3F0C7547" w14:textId="7B204A5B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2BE8">
        <w:rPr>
          <w:rFonts w:asciiTheme="majorHAnsi" w:hAnsiTheme="majorHAnsi" w:cstheme="majorHAnsi"/>
          <w:b/>
          <w:bCs/>
          <w:sz w:val="22"/>
          <w:szCs w:val="22"/>
        </w:rPr>
        <w:t>TEBLİĞ YAYIMLANDI</w:t>
      </w:r>
      <w:r w:rsidR="00CB216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BFBE8AD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2BE8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A1A246A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2BE8">
        <w:rPr>
          <w:rFonts w:asciiTheme="majorHAnsi" w:hAnsiTheme="majorHAnsi" w:cstheme="majorHAnsi"/>
          <w:b/>
          <w:bCs/>
          <w:sz w:val="22"/>
          <w:szCs w:val="22"/>
        </w:rPr>
        <w:t>Yurt içi yerleşik gerçek kişilerin döviz tevdiat hesaplarının ve döviz cinsinden katılım</w:t>
      </w:r>
    </w:p>
    <w:p w14:paraId="07F3E21C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fonlarının</w:t>
      </w:r>
      <w:proofErr w:type="gramEnd"/>
      <w:r w:rsidRPr="00852BE8">
        <w:rPr>
          <w:rFonts w:asciiTheme="majorHAnsi" w:hAnsiTheme="majorHAnsi" w:cstheme="majorHAnsi"/>
          <w:b/>
          <w:bCs/>
          <w:sz w:val="22"/>
          <w:szCs w:val="22"/>
        </w:rPr>
        <w:t xml:space="preserve"> Türk lirası vadeli mevduat ve katılma hesaplarına dönüşmesi halinde mevduat ve</w:t>
      </w:r>
    </w:p>
    <w:p w14:paraId="3235F95B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katılım</w:t>
      </w:r>
      <w:proofErr w:type="gramEnd"/>
      <w:r w:rsidRPr="00852BE8">
        <w:rPr>
          <w:rFonts w:asciiTheme="majorHAnsi" w:hAnsiTheme="majorHAnsi" w:cstheme="majorHAnsi"/>
          <w:b/>
          <w:bCs/>
          <w:sz w:val="22"/>
          <w:szCs w:val="22"/>
        </w:rPr>
        <w:t xml:space="preserve"> fonu sahiplerine sağlanacak desteğin i usul ve esasları düzenlendi.</w:t>
      </w:r>
    </w:p>
    <w:p w14:paraId="5BABDFD7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2BE8">
        <w:rPr>
          <w:rFonts w:asciiTheme="majorHAnsi" w:hAnsiTheme="majorHAnsi" w:cstheme="majorHAnsi"/>
          <w:b/>
          <w:bCs/>
          <w:sz w:val="22"/>
          <w:szCs w:val="22"/>
        </w:rPr>
        <w:t xml:space="preserve">Tebliğ, sadece 20 Aralık 2021 tarihinde mevcut olan ABD doları, Euro ve İngiliz </w:t>
      </w: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Sterlini</w:t>
      </w:r>
      <w:proofErr w:type="gramEnd"/>
    </w:p>
    <w:p w14:paraId="6BB71564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cinsinden</w:t>
      </w:r>
      <w:proofErr w:type="gramEnd"/>
      <w:r w:rsidRPr="00852BE8">
        <w:rPr>
          <w:rFonts w:asciiTheme="majorHAnsi" w:hAnsiTheme="majorHAnsi" w:cstheme="majorHAnsi"/>
          <w:b/>
          <w:bCs/>
          <w:sz w:val="22"/>
          <w:szCs w:val="22"/>
        </w:rPr>
        <w:t xml:space="preserve"> döviz tevdiat hesapları ve döviz cinsinden katılım fonu hesaplarına, hesap</w:t>
      </w:r>
    </w:p>
    <w:p w14:paraId="69BC98CF" w14:textId="77777777" w:rsidR="00852BE8" w:rsidRP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sahibinin</w:t>
      </w:r>
      <w:proofErr w:type="gramEnd"/>
      <w:r w:rsidRPr="00852BE8">
        <w:rPr>
          <w:rFonts w:asciiTheme="majorHAnsi" w:hAnsiTheme="majorHAnsi" w:cstheme="majorHAnsi"/>
          <w:b/>
          <w:bCs/>
          <w:sz w:val="22"/>
          <w:szCs w:val="22"/>
        </w:rPr>
        <w:t xml:space="preserve"> talep etmesi halinde dönüşüm kuru üzerinden Türk lirasına çevrilenlere</w:t>
      </w:r>
    </w:p>
    <w:p w14:paraId="033F243B" w14:textId="770A84D8" w:rsidR="00852BE8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52BE8">
        <w:rPr>
          <w:rFonts w:asciiTheme="majorHAnsi" w:hAnsiTheme="majorHAnsi" w:cstheme="majorHAnsi"/>
          <w:b/>
          <w:bCs/>
          <w:sz w:val="22"/>
          <w:szCs w:val="22"/>
        </w:rPr>
        <w:t>uygulanacaktır</w:t>
      </w:r>
      <w:proofErr w:type="gramEnd"/>
      <w:r w:rsidRPr="00852BE8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9975391" w14:textId="77777777" w:rsidR="00CB2165" w:rsidRPr="00852BE8" w:rsidRDefault="00CB2165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85D958C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0C5A">
        <w:rPr>
          <w:rFonts w:asciiTheme="majorHAnsi" w:hAnsiTheme="majorHAnsi" w:cstheme="majorHAnsi"/>
          <w:b/>
          <w:bCs/>
          <w:sz w:val="22"/>
          <w:szCs w:val="22"/>
        </w:rPr>
        <w:t xml:space="preserve">21.12.2021 tarih ve 31696 sayılı </w:t>
      </w:r>
      <w:proofErr w:type="gramStart"/>
      <w:r w:rsidRPr="00A10C5A">
        <w:rPr>
          <w:rFonts w:asciiTheme="majorHAnsi" w:hAnsiTheme="majorHAnsi" w:cstheme="majorHAnsi"/>
          <w:b/>
          <w:bCs/>
          <w:sz w:val="22"/>
          <w:szCs w:val="22"/>
        </w:rPr>
        <w:t>Resmi</w:t>
      </w:r>
      <w:proofErr w:type="gramEnd"/>
      <w:r w:rsidRPr="00A10C5A">
        <w:rPr>
          <w:rFonts w:asciiTheme="majorHAnsi" w:hAnsiTheme="majorHAnsi" w:cstheme="majorHAnsi"/>
          <w:b/>
          <w:bCs/>
          <w:sz w:val="22"/>
          <w:szCs w:val="22"/>
        </w:rPr>
        <w:t xml:space="preserve"> Gazete (1.Mükerrer)’de yayımlan “TÜRK LİRASI</w:t>
      </w:r>
    </w:p>
    <w:p w14:paraId="293ED27C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0C5A">
        <w:rPr>
          <w:rFonts w:asciiTheme="majorHAnsi" w:hAnsiTheme="majorHAnsi" w:cstheme="majorHAnsi"/>
          <w:b/>
          <w:bCs/>
          <w:sz w:val="22"/>
          <w:szCs w:val="22"/>
        </w:rPr>
        <w:t>MEVDUAT VE KATILMA HESAPLARINA DÖNÜŞÜMÜN DESTEKLENMESİ HAKKINDA</w:t>
      </w:r>
    </w:p>
    <w:p w14:paraId="6A1DB97C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10C5A">
        <w:rPr>
          <w:rFonts w:asciiTheme="majorHAnsi" w:hAnsiTheme="majorHAnsi" w:cstheme="majorHAnsi"/>
          <w:b/>
          <w:bCs/>
          <w:sz w:val="22"/>
          <w:szCs w:val="22"/>
        </w:rPr>
        <w:t>TEBLİĞ (SAYI: 2021/14)” ile yurt içi yerleşik gerçek kişilerin döviz tevdiat hesaplarının ve</w:t>
      </w:r>
    </w:p>
    <w:p w14:paraId="1161AD1B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0C5A">
        <w:rPr>
          <w:rFonts w:asciiTheme="majorHAnsi" w:hAnsiTheme="majorHAnsi" w:cstheme="majorHAnsi"/>
          <w:b/>
          <w:bCs/>
          <w:sz w:val="22"/>
          <w:szCs w:val="22"/>
        </w:rPr>
        <w:t>döviz</w:t>
      </w:r>
      <w:proofErr w:type="gramEnd"/>
      <w:r w:rsidRPr="00A10C5A">
        <w:rPr>
          <w:rFonts w:asciiTheme="majorHAnsi" w:hAnsiTheme="majorHAnsi" w:cstheme="majorHAnsi"/>
          <w:b/>
          <w:bCs/>
          <w:sz w:val="22"/>
          <w:szCs w:val="22"/>
        </w:rPr>
        <w:t xml:space="preserve"> cinsinden katılım fonlarının Türk lirası vadeli mevduat ve katılma hesaplarına dönüşmesi</w:t>
      </w:r>
    </w:p>
    <w:p w14:paraId="6B3A9D3A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0C5A">
        <w:rPr>
          <w:rFonts w:asciiTheme="majorHAnsi" w:hAnsiTheme="majorHAnsi" w:cstheme="majorHAnsi"/>
          <w:b/>
          <w:bCs/>
          <w:sz w:val="22"/>
          <w:szCs w:val="22"/>
        </w:rPr>
        <w:t>halinde</w:t>
      </w:r>
      <w:proofErr w:type="gramEnd"/>
      <w:r w:rsidRPr="00A10C5A">
        <w:rPr>
          <w:rFonts w:asciiTheme="majorHAnsi" w:hAnsiTheme="majorHAnsi" w:cstheme="majorHAnsi"/>
          <w:b/>
          <w:bCs/>
          <w:sz w:val="22"/>
          <w:szCs w:val="22"/>
        </w:rPr>
        <w:t xml:space="preserve"> mevduat ve katılım fonu sahiplerine sağlanacak desteğe ilişkin usul ve esasları</w:t>
      </w:r>
    </w:p>
    <w:p w14:paraId="42AEB1A8" w14:textId="77777777" w:rsidR="00852BE8" w:rsidRPr="00A10C5A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A10C5A">
        <w:rPr>
          <w:rFonts w:asciiTheme="majorHAnsi" w:hAnsiTheme="majorHAnsi" w:cstheme="majorHAnsi"/>
          <w:b/>
          <w:bCs/>
          <w:sz w:val="22"/>
          <w:szCs w:val="22"/>
        </w:rPr>
        <w:t>düzenlemelerde</w:t>
      </w:r>
      <w:proofErr w:type="gramEnd"/>
      <w:r w:rsidRPr="00A10C5A">
        <w:rPr>
          <w:rFonts w:asciiTheme="majorHAnsi" w:hAnsiTheme="majorHAnsi" w:cstheme="majorHAnsi"/>
          <w:b/>
          <w:bCs/>
          <w:sz w:val="22"/>
          <w:szCs w:val="22"/>
        </w:rPr>
        <w:t xml:space="preserve"> bulunuldu.</w:t>
      </w:r>
    </w:p>
    <w:p w14:paraId="42E24FF9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B2165">
        <w:rPr>
          <w:rFonts w:asciiTheme="majorHAnsi" w:hAnsiTheme="majorHAnsi" w:cstheme="majorHAnsi"/>
          <w:b/>
          <w:bCs/>
          <w:sz w:val="22"/>
          <w:szCs w:val="22"/>
        </w:rPr>
        <w:t>Dayanak</w:t>
      </w:r>
    </w:p>
    <w:p w14:paraId="7F22EA6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(1) Tebliğ, 14/1/1970 tarihli ve 1211 sayılı Türkiye Cumhuriyet Merkez Bankası Kanununun 4</w:t>
      </w:r>
    </w:p>
    <w:p w14:paraId="798787A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üncü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maddesinin üçüncü fıkrasının (I) numaralı bendinin (g) alt bendi ile 19/10/2005 tarihli ve</w:t>
      </w:r>
    </w:p>
    <w:p w14:paraId="5F6BCC7C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 xml:space="preserve">5411 sayılı Bankacılık Kanununun </w:t>
      </w:r>
      <w:proofErr w:type="gramStart"/>
      <w:r w:rsidRPr="00CB2165">
        <w:rPr>
          <w:rFonts w:asciiTheme="majorHAnsi" w:hAnsiTheme="majorHAnsi" w:cstheme="majorHAnsi"/>
          <w:sz w:val="22"/>
          <w:szCs w:val="22"/>
        </w:rPr>
        <w:t>144 üncü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maddesine dayanılarak hazırlanmıştır.</w:t>
      </w:r>
    </w:p>
    <w:p w14:paraId="58911114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B2165">
        <w:rPr>
          <w:rFonts w:asciiTheme="majorHAnsi" w:hAnsiTheme="majorHAnsi" w:cstheme="majorHAnsi"/>
          <w:b/>
          <w:bCs/>
          <w:sz w:val="22"/>
          <w:szCs w:val="22"/>
        </w:rPr>
        <w:t>Tanımlar ve kısaltmalar</w:t>
      </w:r>
    </w:p>
    <w:p w14:paraId="50491B1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(1) Bu Tebliğde geçen;</w:t>
      </w:r>
    </w:p>
    <w:p w14:paraId="1FA0E746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 xml:space="preserve">a) Banka: 19/10/2005 tarihli ve 5411 sayılı Bankacılık Kanununun </w:t>
      </w:r>
      <w:proofErr w:type="gramStart"/>
      <w:r w:rsidRPr="00CB2165">
        <w:rPr>
          <w:rFonts w:asciiTheme="majorHAnsi" w:hAnsiTheme="majorHAnsi" w:cstheme="majorHAnsi"/>
          <w:sz w:val="22"/>
          <w:szCs w:val="22"/>
        </w:rPr>
        <w:t>3 üncü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maddesinde</w:t>
      </w:r>
    </w:p>
    <w:p w14:paraId="7AD5187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tanımlanan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mevduat ve katılım bankalarını,</w:t>
      </w:r>
    </w:p>
    <w:p w14:paraId="5C182AE7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b) Merkez Bankası: Türkiye Cumhuriyet Merkez Bankasını,</w:t>
      </w:r>
    </w:p>
    <w:p w14:paraId="2632B710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c) Dönüşüm kuru: Döviz tevdiat hesapları ve döviz cinsinden katılım fonu hesaplarında</w:t>
      </w:r>
    </w:p>
    <w:p w14:paraId="02A59DCF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bulunan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dövizin Türk lirasına çevrildiği gün saat 11:00’de Merkez Bankası tarafından</w:t>
      </w:r>
    </w:p>
    <w:p w14:paraId="26A3BC22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ilan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edilen döviz alış kurunu,</w:t>
      </w:r>
    </w:p>
    <w:p w14:paraId="72752517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ç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>) Vade sonu kuru: Türk lirası mevduat veya katılma hesabının vadesinde</w:t>
      </w:r>
    </w:p>
    <w:p w14:paraId="131CD1C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saat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11:00’de Merkez Bankası tarafından ilan edilen döviz alış kurunu,</w:t>
      </w:r>
    </w:p>
    <w:p w14:paraId="53A9756C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lastRenderedPageBreak/>
        <w:t>d) Yurt içi yerleşik gerçek kişi: Yurt dışında işçi, serbest meslek ve müstakil iş sahibi</w:t>
      </w:r>
    </w:p>
    <w:p w14:paraId="270A82CF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Türk vatandaşları dahil Türkiye'de kanuni yerleşim yeri bulunan gerçek kişileri,</w:t>
      </w:r>
    </w:p>
    <w:p w14:paraId="5948F91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ifade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eder.</w:t>
      </w:r>
    </w:p>
    <w:p w14:paraId="5F89DD6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B2165">
        <w:rPr>
          <w:rFonts w:asciiTheme="majorHAnsi" w:hAnsiTheme="majorHAnsi" w:cstheme="majorHAnsi"/>
          <w:b/>
          <w:bCs/>
          <w:sz w:val="22"/>
          <w:szCs w:val="22"/>
        </w:rPr>
        <w:t>Döviz tevdiat hesapları ve katılım fonlarının vadeli Türk lirası mevduat veya katılma</w:t>
      </w:r>
    </w:p>
    <w:p w14:paraId="46FF624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b/>
          <w:bCs/>
          <w:sz w:val="22"/>
          <w:szCs w:val="22"/>
        </w:rPr>
        <w:t>hesaplarına</w:t>
      </w:r>
      <w:proofErr w:type="gramEnd"/>
      <w:r w:rsidRPr="00CB2165">
        <w:rPr>
          <w:rFonts w:asciiTheme="majorHAnsi" w:hAnsiTheme="majorHAnsi" w:cstheme="majorHAnsi"/>
          <w:b/>
          <w:bCs/>
          <w:sz w:val="22"/>
          <w:szCs w:val="22"/>
        </w:rPr>
        <w:t xml:space="preserve"> dönüşümü</w:t>
      </w:r>
    </w:p>
    <w:p w14:paraId="4E6B126B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 xml:space="preserve">(1) 20/12/2021 tarihinde mevcut olan ABD doları, Euro ve İngiliz </w:t>
      </w:r>
      <w:proofErr w:type="gramStart"/>
      <w:r w:rsidRPr="00CB2165">
        <w:rPr>
          <w:rFonts w:asciiTheme="majorHAnsi" w:hAnsiTheme="majorHAnsi" w:cstheme="majorHAnsi"/>
          <w:sz w:val="22"/>
          <w:szCs w:val="22"/>
        </w:rPr>
        <w:t>Sterlini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cinsinden döviz</w:t>
      </w:r>
    </w:p>
    <w:p w14:paraId="7CAE62AB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tevdiat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hesapları ve döviz cinsinden katılım fonu hesapları, hesap sahibinin talep etmesi</w:t>
      </w:r>
    </w:p>
    <w:p w14:paraId="490C251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halinde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dönüşüm kuru üzerinden Türk lirasına çevrilir.</w:t>
      </w:r>
    </w:p>
    <w:p w14:paraId="71F8D86C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(2) Bankanın bu işlem sonucunda elde ettiği döviz dönüşüm kuru üzerinden Merkez Bankası</w:t>
      </w:r>
    </w:p>
    <w:p w14:paraId="72938FFB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tarafından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satın alınır ve karşılığı Türk lirası ilgili bankaya aktarılır.</w:t>
      </w:r>
    </w:p>
    <w:p w14:paraId="22078DF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(3) Banka tarafından 3 ay, 6 ay veya 1 yıl vadeli Türk lirası mevduat veya katılma hesabı açılır.</w:t>
      </w:r>
    </w:p>
    <w:p w14:paraId="16DEFBDA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(4) Bankanın mevduat hesabına uygulayacağı faiz oranı Merkez Bankasınca belirlenen bir</w:t>
      </w:r>
    </w:p>
    <w:p w14:paraId="0370A4FA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hafta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vadeli repo ihale faiz oranının altında olamaz. Katılma hesaplarına sağlanacak getirinin</w:t>
      </w:r>
    </w:p>
    <w:p w14:paraId="1375C8F0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katılım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bankalarının Merkez Bankası ile açık piyasa işlemleri kapsamında yaptıkları bir hafta</w:t>
      </w:r>
    </w:p>
    <w:p w14:paraId="28AA68EB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vadeli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repo işlemlerinde oluşan maliyetten düşük olması halinde aradaki farkı katılım bankası</w:t>
      </w:r>
    </w:p>
    <w:p w14:paraId="2C87CF0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tek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taraflı olarak karşılar.</w:t>
      </w:r>
    </w:p>
    <w:p w14:paraId="1FBCB525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B2165">
        <w:rPr>
          <w:rFonts w:asciiTheme="majorHAnsi" w:hAnsiTheme="majorHAnsi" w:cstheme="majorHAnsi"/>
          <w:b/>
          <w:bCs/>
          <w:sz w:val="22"/>
          <w:szCs w:val="22"/>
        </w:rPr>
        <w:t>Vade sonunda kur farkının ödenmesi</w:t>
      </w:r>
    </w:p>
    <w:p w14:paraId="257E0E2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(1) Vade sonunda Türk lirası mevduat veya katılma hesabı sahibine anapara ile faiz veya kâr</w:t>
      </w:r>
    </w:p>
    <w:p w14:paraId="6FF1D37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payı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banka tarafından ödenir.</w:t>
      </w:r>
    </w:p>
    <w:p w14:paraId="2B4A929D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(2) Vade sonu kurunun dönüşüm kurundan yüksek olması ve kur farkı üzerinden hesaplanan</w:t>
      </w:r>
    </w:p>
    <w:p w14:paraId="66E759CA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tutarın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banka tarafından ödenecek faiz veya kâr payından yüksek olması durumunda, kur farkı</w:t>
      </w:r>
    </w:p>
    <w:p w14:paraId="546C828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hesaplanan tutardan faiz veya kâr payı düşülerek hesaplanan tutar Merkez</w:t>
      </w:r>
    </w:p>
    <w:p w14:paraId="61D887AD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Bankasınca mevduat veya katılma hesabı sahibine ödenmek üzere ilgili bankaya aktarılır.</w:t>
      </w:r>
    </w:p>
    <w:p w14:paraId="4AD9E3BE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(3) Türk lirası mevduat veya katılma hesabından vadeden önce çekim yapılması halinde</w:t>
      </w:r>
    </w:p>
    <w:p w14:paraId="2402DF72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Merkez Bankasınca kur farkına ilişkin ödeme yapılmaz.</w:t>
      </w:r>
    </w:p>
    <w:p w14:paraId="1D42CFB7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(4) Bu uygulama kapsamında açılan Türk lirası mevduat veya katılma hesapları bu maddenin</w:t>
      </w:r>
    </w:p>
    <w:p w14:paraId="272754E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ikinci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fıkrasında belirtilen destekten bir defaya mahsus olarak faydalanabilir.</w:t>
      </w:r>
    </w:p>
    <w:p w14:paraId="2AF10F51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B2165">
        <w:rPr>
          <w:rFonts w:asciiTheme="majorHAnsi" w:hAnsiTheme="majorHAnsi" w:cstheme="majorHAnsi"/>
          <w:b/>
          <w:bCs/>
          <w:sz w:val="22"/>
          <w:szCs w:val="22"/>
        </w:rPr>
        <w:t>İstisnalar</w:t>
      </w:r>
    </w:p>
    <w:p w14:paraId="7CE55164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(1) 16/10/2006 tarihli ve 2006/11188 sayılı Mevduat ve Kredi Faiz Oranları ve Katılma</w:t>
      </w:r>
    </w:p>
    <w:p w14:paraId="047067A9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Hesapları Kâr ve Zarara Katılma Oranları ile Özel Cari Hesaplar Dahil Bu İşlemlerde</w:t>
      </w:r>
    </w:p>
    <w:p w14:paraId="67457B76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 xml:space="preserve">Sağlanacak Diğer Menfaatler Hakkında Bakanlar Kurulu Kararının </w:t>
      </w:r>
      <w:proofErr w:type="gramStart"/>
      <w:r w:rsidRPr="00CB2165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maddesinin birinci</w:t>
      </w:r>
    </w:p>
    <w:p w14:paraId="6F9E3921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fıkrası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ile 10/2/2020 tarihli ve 31035 sayılı Resmî Gazetede yayımlanan Mevduat ve Kredi Faiz</w:t>
      </w:r>
    </w:p>
    <w:p w14:paraId="240289F8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Oranları ve Katılma Hesapları Kâr ve Zarara Katılma Oranları Hakkında Tebliğ (Sayı:</w:t>
      </w:r>
    </w:p>
    <w:p w14:paraId="1073C6FD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 xml:space="preserve">2020/3)’in </w:t>
      </w:r>
      <w:proofErr w:type="gramStart"/>
      <w:r w:rsidRPr="00CB2165">
        <w:rPr>
          <w:rFonts w:asciiTheme="majorHAnsi" w:hAnsiTheme="majorHAnsi" w:cstheme="majorHAnsi"/>
          <w:sz w:val="22"/>
          <w:szCs w:val="22"/>
        </w:rPr>
        <w:t>3 üncü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maddesinin birinci fıkrasının birinci cümlesi ve dördüncü fıkrası hükümleri</w:t>
      </w:r>
    </w:p>
    <w:p w14:paraId="44A58DDC" w14:textId="77777777" w:rsidR="00852BE8" w:rsidRPr="00CB2165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CB2165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CB2165">
        <w:rPr>
          <w:rFonts w:asciiTheme="majorHAnsi" w:hAnsiTheme="majorHAnsi" w:cstheme="majorHAnsi"/>
          <w:sz w:val="22"/>
          <w:szCs w:val="22"/>
        </w:rPr>
        <w:t xml:space="preserve"> Tebliğ kapsamında açılacak Türk lirası mevduat ve katılma hesaplarına uygulanmaz.</w:t>
      </w:r>
    </w:p>
    <w:p w14:paraId="27E0B377" w14:textId="6D6DE0AD" w:rsidR="00512410" w:rsidRDefault="00852BE8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B2165">
        <w:rPr>
          <w:rFonts w:asciiTheme="majorHAnsi" w:hAnsiTheme="majorHAnsi" w:cstheme="majorHAnsi"/>
          <w:sz w:val="22"/>
          <w:szCs w:val="22"/>
        </w:rPr>
        <w:t>Söz konusu Tebliğ 21.12.2021 tarihinde yürürlüğe girmiştir.</w:t>
      </w:r>
    </w:p>
    <w:p w14:paraId="2B51487B" w14:textId="77777777" w:rsidR="00CB2165" w:rsidRPr="00CB2165" w:rsidRDefault="00CB2165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BF251C2" w14:textId="12D7AC1F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27E92" w14:textId="77777777" w:rsidR="00421040" w:rsidRDefault="00421040" w:rsidP="006A7CD4">
      <w:r>
        <w:separator/>
      </w:r>
    </w:p>
  </w:endnote>
  <w:endnote w:type="continuationSeparator" w:id="0">
    <w:p w14:paraId="49A68F45" w14:textId="77777777" w:rsidR="00421040" w:rsidRDefault="0042104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6F8D" w14:textId="77777777" w:rsidR="00421040" w:rsidRDefault="00421040" w:rsidP="006A7CD4">
      <w:r>
        <w:separator/>
      </w:r>
    </w:p>
  </w:footnote>
  <w:footnote w:type="continuationSeparator" w:id="0">
    <w:p w14:paraId="2D5E22A4" w14:textId="77777777" w:rsidR="00421040" w:rsidRDefault="0042104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6B57"/>
    <w:rsid w:val="003813AE"/>
    <w:rsid w:val="0039313C"/>
    <w:rsid w:val="00397E52"/>
    <w:rsid w:val="003A3E43"/>
    <w:rsid w:val="003A55D8"/>
    <w:rsid w:val="003A6B2F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2165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D6CC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2021-12-24T09:59:00Z</dcterms:created>
  <dcterms:modified xsi:type="dcterms:W3CDTF">2021-12-24T10:03:00Z</dcterms:modified>
</cp:coreProperties>
</file>