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5579B1B5" w:rsidR="002F28CC" w:rsidRPr="00664B38" w:rsidRDefault="00F26122"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CA10B7">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309256FE"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F7EDB">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00D82146">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tc>
      </w:tr>
      <w:tr w:rsidR="002F28CC" w:rsidRPr="00AD258C" w14:paraId="4DD9B45A" w14:textId="77777777" w:rsidTr="00C546B3">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tcPr>
          <w:p w14:paraId="30B5E9DE" w14:textId="697CE104" w:rsidR="002F28CC" w:rsidRPr="00CB2165" w:rsidRDefault="00A41A39" w:rsidP="00F26122">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A39">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VARLIK BARIŞINDAN YARARLANMA SÜRESİ ALTI AY DAHA UZATILDI.</w:t>
            </w:r>
          </w:p>
        </w:tc>
      </w:tr>
      <w:bookmarkEnd w:id="0"/>
    </w:tbl>
    <w:p w14:paraId="2B51487B" w14:textId="5DC1C307" w:rsidR="00CB2165" w:rsidRDefault="00CB2165" w:rsidP="00852BE8">
      <w:pPr>
        <w:spacing w:line="330" w:lineRule="atLeast"/>
        <w:textAlignment w:val="baseline"/>
        <w:rPr>
          <w:rFonts w:asciiTheme="majorHAnsi" w:hAnsiTheme="majorHAnsi" w:cstheme="majorHAnsi"/>
          <w:sz w:val="22"/>
          <w:szCs w:val="22"/>
        </w:rPr>
      </w:pPr>
    </w:p>
    <w:p w14:paraId="5001C356" w14:textId="7656D614"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VARLIK BARIŞINDAN YARARLANMA SÜRESİ</w:t>
      </w:r>
      <w:r w:rsidRPr="00A41A39">
        <w:rPr>
          <w:rFonts w:asciiTheme="majorHAnsi" w:hAnsiTheme="majorHAnsi" w:cstheme="majorHAnsi"/>
          <w:b/>
          <w:bCs/>
          <w:sz w:val="22"/>
          <w:szCs w:val="22"/>
        </w:rPr>
        <w:t xml:space="preserve"> </w:t>
      </w:r>
      <w:r w:rsidRPr="00A41A39">
        <w:rPr>
          <w:rFonts w:asciiTheme="majorHAnsi" w:hAnsiTheme="majorHAnsi" w:cstheme="majorHAnsi"/>
          <w:b/>
          <w:bCs/>
          <w:sz w:val="22"/>
          <w:szCs w:val="22"/>
        </w:rPr>
        <w:t>ALTI AY DAHA UZATILDI</w:t>
      </w:r>
      <w:r w:rsidRPr="00A41A39">
        <w:rPr>
          <w:rFonts w:asciiTheme="majorHAnsi" w:hAnsiTheme="majorHAnsi" w:cstheme="majorHAnsi"/>
          <w:b/>
          <w:bCs/>
          <w:sz w:val="22"/>
          <w:szCs w:val="22"/>
        </w:rPr>
        <w:t>.</w:t>
      </w:r>
    </w:p>
    <w:p w14:paraId="6EAF8ADD"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ÖZET</w:t>
      </w:r>
    </w:p>
    <w:p w14:paraId="5F6F2B35"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7256 sayılı Yasa ile getirilen ve Varlık Barışı olarak bilinen Gelir Vergisi Kanunu'nun Geçici</w:t>
      </w:r>
    </w:p>
    <w:p w14:paraId="46D971E3"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93’üncü maddesinde yer alan başvuru süreleri 31 Aralık 2021 tarihinden 30 Haziran 2022</w:t>
      </w:r>
    </w:p>
    <w:p w14:paraId="1EF2DEF1"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tarihine uzatıldı. Uzatılan bu süreler aşağıdaki gibidir.</w:t>
      </w:r>
    </w:p>
    <w:p w14:paraId="665F9658"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 Yurt dışında bulunan para, altın, döviz, menkul kıymet ve diğer sermaye piyasası</w:t>
      </w:r>
    </w:p>
    <w:p w14:paraId="7C17A327"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araçlarının, maddedeki hükümler çerçevesinde, Türkiye’deki banka veya aracı</w:t>
      </w:r>
    </w:p>
    <w:p w14:paraId="31DB12AB"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kurumlara bildirilme süresi</w:t>
      </w:r>
    </w:p>
    <w:p w14:paraId="3C67FB92"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 Bu varlıkların, yurt dışında bulunan banka veya finansal kurumlardan kullanılan ve bu</w:t>
      </w:r>
    </w:p>
    <w:p w14:paraId="7C2AD485"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maddenin yürürlük tarihi itibarıyla kanuni defterlerde kayıtlı olan kredilerin</w:t>
      </w:r>
    </w:p>
    <w:p w14:paraId="1227F345"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kapatılmasında kullanılmasının son tarihi</w:t>
      </w:r>
    </w:p>
    <w:p w14:paraId="21AC68C6"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 Gelir veya kurumlar vergisi mükelleflerince sahip olunan ve Türkiye’de bulunan ancak</w:t>
      </w:r>
    </w:p>
    <w:p w14:paraId="6E3C2B13"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kanuni defter kayıtlarında yer almayan para, altın, döviz, menkul kıymet ve diğer</w:t>
      </w:r>
    </w:p>
    <w:p w14:paraId="154D6C1E"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sermaye piyasası araçları ile taşınmazların, vergi dairelerine bildirilme süresi</w:t>
      </w:r>
    </w:p>
    <w:p w14:paraId="56398A3F"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Söz konusu varlıkların Türkiye’ye getirilmesi ya da sadece bildirimde bulunulması durumunda,</w:t>
      </w:r>
    </w:p>
    <w:p w14:paraId="78797A6F" w14:textId="77777777" w:rsidR="00A41A39" w:rsidRPr="00A41A39" w:rsidRDefault="00A41A39" w:rsidP="00A41A39">
      <w:pPr>
        <w:spacing w:line="330" w:lineRule="atLeast"/>
        <w:textAlignment w:val="baseline"/>
        <w:rPr>
          <w:rFonts w:asciiTheme="majorHAnsi" w:hAnsiTheme="majorHAnsi" w:cstheme="majorHAnsi"/>
          <w:b/>
          <w:bCs/>
          <w:sz w:val="22"/>
          <w:szCs w:val="22"/>
        </w:rPr>
      </w:pPr>
      <w:r w:rsidRPr="00A41A39">
        <w:rPr>
          <w:rFonts w:asciiTheme="majorHAnsi" w:hAnsiTheme="majorHAnsi" w:cstheme="majorHAnsi"/>
          <w:b/>
          <w:bCs/>
          <w:sz w:val="22"/>
          <w:szCs w:val="22"/>
        </w:rPr>
        <w:t>herhangi bir vergi ödenmesi söz konusu değildir.</w:t>
      </w:r>
    </w:p>
    <w:p w14:paraId="675AF593"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BAZI ALACAKLARIN YENİDEN YAPILANDIRILMASI İLE BAZI KANUNLARDA DEĞİŞİKLİK</w:t>
      </w:r>
    </w:p>
    <w:p w14:paraId="278BEEF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YAPILMASI HAKKINDA KANUN ile kesinleşmiş kamu ve diğer bazı alacakların</w:t>
      </w:r>
    </w:p>
    <w:p w14:paraId="3E5BE036"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yapılandırılmasına ilişkin düzenlemelerde bulunulmuş; Gelir Vergisi Kanunu, Kurumlar Vergisi</w:t>
      </w:r>
    </w:p>
    <w:p w14:paraId="65B546F7"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Kanunu ve Katma Değer Vergisi Kanunlarında değişiklikler yapılmıştı.</w:t>
      </w:r>
    </w:p>
    <w:p w14:paraId="76705947"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 kapsamda Yasanın 21’nci maddesi ile varlık barışa olarak bilinen düzenlemelerin bir</w:t>
      </w:r>
    </w:p>
    <w:p w14:paraId="4F1DFA0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benzeri daha getirilerek 193 sayılı Gelir Vergisi Kanunu'na aşağıdaki geçici 93’üncü madde</w:t>
      </w:r>
    </w:p>
    <w:p w14:paraId="4C0E5E93"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eklenmişti.</w:t>
      </w:r>
    </w:p>
    <w:p w14:paraId="16EA1D50"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Geçici Madde 93 -</w:t>
      </w:r>
    </w:p>
    <w:p w14:paraId="2E734740"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Yurt dışında bulunan para, altın, döviz, menkul kıymet ve diğer sermaye piyasası araçlarını,</w:t>
      </w:r>
    </w:p>
    <w:p w14:paraId="17813D2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 maddedeki hükümler çerçevesinde, 30/6/2021 tarihine kadar Türkiye’deki banka veya</w:t>
      </w:r>
    </w:p>
    <w:p w14:paraId="54134E37"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aracı kuruma bildiren gerçek ve tüzel kişiler, söz konusu varlıkları serbestçe tasarruf</w:t>
      </w:r>
    </w:p>
    <w:p w14:paraId="03AC8068"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edebilirler.</w:t>
      </w:r>
    </w:p>
    <w:p w14:paraId="0BC6C2E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Birinci fıkra kapsamına giren varlıklar, yurt dışında bulunan banka veya finansal kurumlardan</w:t>
      </w:r>
    </w:p>
    <w:p w14:paraId="632F65A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kullanılan ve bu maddenin yürürlük tarihi itibarıyla kanuni defterlerde kayıtlı olan kredilerin</w:t>
      </w:r>
    </w:p>
    <w:p w14:paraId="2C5B22FD"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en geç 30/6/2021 tarihine kadar kapatılmasında kullanılabilir. Bu takdirde, defter</w:t>
      </w:r>
    </w:p>
    <w:p w14:paraId="3F5A18A8"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kayıtlarından düşülmesi kaydıyla, borcun ödenmesinde kullanılan varlıklar için Türkiye’ye</w:t>
      </w:r>
    </w:p>
    <w:p w14:paraId="7E70A936"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lastRenderedPageBreak/>
        <w:t>getirilme şartı aranmaksızın bu madde hükümlerinden yararlanılır.</w:t>
      </w:r>
    </w:p>
    <w:p w14:paraId="4318880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 maddenin yürürlük tarihi itibarıyla kanuni defterlerde kayıtlı olan sermaye avanslarının,</w:t>
      </w:r>
    </w:p>
    <w:p w14:paraId="1F2882A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yurt dışında bulunan para, altın, döviz, menkul kıymet ve diğer sermaye piyasası araçlarının</w:t>
      </w:r>
    </w:p>
    <w:p w14:paraId="70288339"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 maddenin yürürlüğe girmesinden önce Türkiye’ye getirilmek suretiyle karşılanmış olması</w:t>
      </w:r>
    </w:p>
    <w:p w14:paraId="5D3F2402"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hâlinde, söz konusu avansların defter kayıtlarından düşülmesi kaydıyla bu madde</w:t>
      </w:r>
    </w:p>
    <w:p w14:paraId="5A5535C5"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hükümlerinden yararlanılır.</w:t>
      </w:r>
    </w:p>
    <w:p w14:paraId="11FCA6A1"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213 sayılı Vergi Usul Kanunu uyarınca defter tutan mükellefler, bu madde kapsamında</w:t>
      </w:r>
    </w:p>
    <w:p w14:paraId="24911CB9"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Türkiye’ye getirilen varlıklarını, dönem kazancının tespitinde dikkate almaksızın işletmelerine</w:t>
      </w:r>
    </w:p>
    <w:p w14:paraId="6E079B7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dâhil edebilecekleri gibi aynı varlıkları vergiye tabi kazancın ve kurumlar için dağıtılabilir</w:t>
      </w:r>
    </w:p>
    <w:p w14:paraId="34E39E76"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kazancın tespitinde dikkate almaksızın işletmelerinden çekebilirler.</w:t>
      </w:r>
    </w:p>
    <w:p w14:paraId="1B42EF4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Gelir veya kurumlar vergisi mükelleflerince sahip olunan ve Türkiye’de bulunan ancak kanuni</w:t>
      </w:r>
    </w:p>
    <w:p w14:paraId="71E36663"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defter kayıtlarında yer almayan para, altın, döviz, menkul kıymet ve diğer sermaye piyasası</w:t>
      </w:r>
    </w:p>
    <w:p w14:paraId="3BDBE91D"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araçları ile taşınmazlar, 30/6/2021 tarihine kadar vergi dairelerine bildirilir. Bildirilen söz</w:t>
      </w:r>
    </w:p>
    <w:p w14:paraId="7E8ACED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konusu varlıklar, 30/6/2021 tarihine kadar, dönem kazancının tespitinde dikkate alınmaksızın</w:t>
      </w:r>
    </w:p>
    <w:p w14:paraId="2E2D9E4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kanuni defterlere kaydedilebilir. Bu takdirde, söz konusu varlıklar vergiye tabi kazancın ve</w:t>
      </w:r>
    </w:p>
    <w:p w14:paraId="271E5FB7"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kurumlar için dağıtılabilir kazancın tespitinde dikkate alınmaksızın işletmeden çekilebilir. Bu</w:t>
      </w:r>
    </w:p>
    <w:p w14:paraId="534AB95C"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fıkra kapsamında bildirilen taşınmazların ayni sermaye olarak konulmak suretiyle işletme</w:t>
      </w:r>
    </w:p>
    <w:p w14:paraId="74B5DC01"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kayıtlarına alınması hâlinde, sermaye artırım kararının bildirim tarihi itibarıyla alınmış olması</w:t>
      </w:r>
    </w:p>
    <w:p w14:paraId="7FC60D8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ve söz konusu kararın bildirim tarihini izleyen onuncu ayın sonuna kadar ticaret siciline tescil</w:t>
      </w:r>
    </w:p>
    <w:p w14:paraId="6C027F03"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edilmesi kaydıyla, bu madde hükümlerinden faydalanılabilir.</w:t>
      </w:r>
    </w:p>
    <w:p w14:paraId="36CF771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Türkiye’ye getirilen veya kanuni defterlere kaydedilen varlıkların elden çıkarılmasından</w:t>
      </w:r>
    </w:p>
    <w:p w14:paraId="5019C2C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doğan zararlar, gelir veya kurumlar vergisi uygulaması bakımından gider veya indirim olarak</w:t>
      </w:r>
    </w:p>
    <w:p w14:paraId="0752BA1E"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kabul edilmez.</w:t>
      </w:r>
    </w:p>
    <w:p w14:paraId="0BBAD89C"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 madde kapsamında bildirilen varlıklar nedeniyle hiçbir suretle vergi incelemesi ve vergi</w:t>
      </w:r>
    </w:p>
    <w:p w14:paraId="1A1485A2"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tarhiyatı yapılmaz. Bu hükümden faydalanılabilmesi için birinci fıkra uyarınca bildirilen</w:t>
      </w:r>
    </w:p>
    <w:p w14:paraId="20574AB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varlıkların, bildirimin yapıldığı tarihten itibaren üç ay içinde Türkiye’ye getirilmesi veya</w:t>
      </w:r>
    </w:p>
    <w:p w14:paraId="4FDAA839"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Türkiye’deki banka ya da aracı kurumlarda açılacak bir hesaba transfer edilmesi şarttır.</w:t>
      </w:r>
    </w:p>
    <w:p w14:paraId="1694D29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Cumhurbaşkanı, bu maddede yer alan süreleri, bitim tarihlerinden itibaren her defasında altı</w:t>
      </w:r>
    </w:p>
    <w:p w14:paraId="6660DF52"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ayı geçmeyen süreler hâlinde bir yıla kadar uzatmaya; Hazine ve Maliye Bakanlığı, madde</w:t>
      </w:r>
    </w:p>
    <w:p w14:paraId="2D644A85"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kapsamına giren varlıkların Türkiye’ye getirilmesi ve bildirimi ile işletmeye dâhil edilmelerine</w:t>
      </w:r>
    </w:p>
    <w:p w14:paraId="7B8BA236"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ilişkin hususları, bildirime esas değerlerin tespiti, bildirimin şekli, içeriği ve ekleri ile yapılacağı</w:t>
      </w:r>
    </w:p>
    <w:p w14:paraId="36DADFEA"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yeri, maddenin uygulanmasında kullanılacak bilgi ve belgeler ile uygulamaya ilişkin usul ve</w:t>
      </w:r>
    </w:p>
    <w:p w14:paraId="05CCD5E0"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esasları belirlemeye yetkilidir.</w:t>
      </w:r>
    </w:p>
    <w:p w14:paraId="1E3598E4"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Daha sonra 28/11/2020 tarihli ve 31318 sayılı Resmi Gazetede yayımlanan Bazı Varlıkların</w:t>
      </w:r>
    </w:p>
    <w:p w14:paraId="0937243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Ekonomiye Kazandırılması Hakkında Genel Tebliğ (Seri No: 1) ile Gelir Vergisi Kanuna</w:t>
      </w:r>
    </w:p>
    <w:p w14:paraId="237627F5"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eklenen söz konusu Geçici 93’üncü madde ile ilgili açıklama ve düzenlemelerde bulunulmuştu</w:t>
      </w:r>
    </w:p>
    <w:p w14:paraId="06E795C8"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Düzenlemeye göre kanuni defter kayıtlarında yer almayan para, altın, döviz, menkul kıymet</w:t>
      </w:r>
    </w:p>
    <w:p w14:paraId="7D69E0D6"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ve diğer sermaye piyasası araçları ile taşınmazların 30 Haziran 2021 tarihine kadar vergi</w:t>
      </w:r>
    </w:p>
    <w:p w14:paraId="6B0D7FE3" w14:textId="4AB036BC" w:rsidR="00A41A39" w:rsidRPr="00A41A39" w:rsidRDefault="00A41A39" w:rsidP="00F01EF8">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 xml:space="preserve">dairelerine bildirilmesi gerekiyordu. </w:t>
      </w:r>
    </w:p>
    <w:p w14:paraId="7FF01275"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Daha sonra 30 Haziran 2021 tarihli ve 31527 sayılı Resmi Gazete yayımlanan 4196 sayılı 193</w:t>
      </w:r>
    </w:p>
    <w:p w14:paraId="38012165"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Sayılı Gelir Vergisi Kanununun Geçici 93 üncü Maddesinin Birinci, İkinci ve Beşinci</w:t>
      </w:r>
    </w:p>
    <w:p w14:paraId="1E6AE228"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Fıkralarında Yer Alan Sürelerin, Bitim Tarihlerinden İtibaren 6 Ay Uzatılması Hakkında</w:t>
      </w:r>
    </w:p>
    <w:p w14:paraId="20B2D2C5" w14:textId="3A0B1C0B" w:rsidR="00A41A39" w:rsidRPr="00A41A39" w:rsidRDefault="00A41A39" w:rsidP="00F01EF8">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Cumhurbaşkanı Kararı ile 1, 2 ve 5’inci fıkralarda yer alan süreler altı ay uzatılmış</w:t>
      </w:r>
      <w:r w:rsidR="00F01EF8">
        <w:rPr>
          <w:rFonts w:asciiTheme="majorHAnsi" w:hAnsiTheme="majorHAnsi" w:cstheme="majorHAnsi"/>
          <w:sz w:val="22"/>
          <w:szCs w:val="22"/>
        </w:rPr>
        <w:t>tı.</w:t>
      </w:r>
    </w:p>
    <w:p w14:paraId="074C9BFF"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31 Aralık 2021 tarihli ve 31706 (6. Mükerrer) sayılı Resmi Gazete yayımlanan 5058 sayılı 193</w:t>
      </w:r>
    </w:p>
    <w:p w14:paraId="2109439B"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Sayılı Gelir Vergisi Kanununun Geçici 93 üncü Maddesinin Birinci, İkinci ve Beşinci</w:t>
      </w:r>
    </w:p>
    <w:p w14:paraId="7B734D19"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Fıkralarında Yer Alan Sürelerin, Bitim Tarihlerinden İtibaren 6 Ay Uzatılması Hakkında</w:t>
      </w:r>
    </w:p>
    <w:p w14:paraId="1161B657"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Cumhurbaşkanı Kararı ile 1, 2 ve 5’inci fıkralarda yer alan süreler altı ay daha uzatılmıştır.</w:t>
      </w:r>
    </w:p>
    <w:p w14:paraId="6C9CDDA0" w14:textId="77777777" w:rsidR="00A41A39" w:rsidRPr="00A41A39" w:rsidRDefault="00A41A39" w:rsidP="00A41A39">
      <w:pPr>
        <w:spacing w:line="330" w:lineRule="atLeast"/>
        <w:textAlignment w:val="baseline"/>
        <w:rPr>
          <w:rFonts w:asciiTheme="majorHAnsi" w:hAnsiTheme="majorHAnsi" w:cstheme="majorHAnsi"/>
          <w:sz w:val="22"/>
          <w:szCs w:val="22"/>
        </w:rPr>
      </w:pPr>
      <w:r w:rsidRPr="00A41A39">
        <w:rPr>
          <w:rFonts w:asciiTheme="majorHAnsi" w:hAnsiTheme="majorHAnsi" w:cstheme="majorHAnsi"/>
          <w:sz w:val="22"/>
          <w:szCs w:val="22"/>
        </w:rPr>
        <w:t>Buna göre söz konusu bildirimler, 30 Haziran 2022 tarihine kadar yapılabilecektir.</w:t>
      </w:r>
    </w:p>
    <w:p w14:paraId="1FE049D9" w14:textId="7A7DBCA1" w:rsidR="00A41A39" w:rsidRDefault="00A41A39" w:rsidP="00852BE8">
      <w:pPr>
        <w:spacing w:line="330" w:lineRule="atLeast"/>
        <w:textAlignment w:val="baseline"/>
        <w:rPr>
          <w:rFonts w:asciiTheme="majorHAnsi" w:hAnsiTheme="majorHAnsi" w:cstheme="majorHAnsi"/>
          <w:sz w:val="22"/>
          <w:szCs w:val="22"/>
        </w:rPr>
      </w:pPr>
    </w:p>
    <w:p w14:paraId="26EBB30B" w14:textId="3B40809E" w:rsidR="0054547D" w:rsidRDefault="0054547D" w:rsidP="00852BE8">
      <w:pPr>
        <w:spacing w:line="330" w:lineRule="atLeast"/>
        <w:textAlignment w:val="baseline"/>
        <w:rPr>
          <w:rFonts w:asciiTheme="majorHAnsi" w:hAnsiTheme="majorHAnsi" w:cstheme="majorHAnsi"/>
          <w:sz w:val="22"/>
          <w:szCs w:val="22"/>
        </w:rPr>
      </w:pPr>
    </w:p>
    <w:tbl>
      <w:tblPr>
        <w:tblStyle w:val="TableNormal"/>
        <w:tblW w:w="99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9"/>
        <w:gridCol w:w="2413"/>
      </w:tblGrid>
      <w:tr w:rsidR="0054547D" w:rsidRPr="0054547D" w14:paraId="117D5180" w14:textId="77777777" w:rsidTr="00F01EF8">
        <w:trPr>
          <w:trHeight w:val="580"/>
        </w:trPr>
        <w:tc>
          <w:tcPr>
            <w:tcW w:w="7509" w:type="dxa"/>
            <w:shd w:val="clear" w:color="auto" w:fill="FFC000"/>
          </w:tcPr>
          <w:p w14:paraId="29629363" w14:textId="77777777" w:rsidR="0054547D" w:rsidRPr="0054547D" w:rsidRDefault="0054547D" w:rsidP="0054547D">
            <w:pPr>
              <w:spacing w:before="1"/>
              <w:rPr>
                <w:rFonts w:asciiTheme="majorHAnsi" w:hAnsiTheme="majorHAnsi" w:cstheme="majorHAnsi"/>
                <w:sz w:val="22"/>
                <w:szCs w:val="22"/>
                <w:lang w:val="tr-TR"/>
              </w:rPr>
            </w:pPr>
          </w:p>
          <w:p w14:paraId="45BD0678" w14:textId="77777777" w:rsidR="0054547D" w:rsidRPr="0054547D" w:rsidRDefault="0054547D" w:rsidP="0054547D">
            <w:pPr>
              <w:ind w:left="3140" w:right="3132"/>
              <w:jc w:val="center"/>
              <w:rPr>
                <w:rFonts w:asciiTheme="majorHAnsi" w:hAnsiTheme="majorHAnsi" w:cstheme="majorHAnsi"/>
                <w:sz w:val="22"/>
                <w:szCs w:val="22"/>
                <w:lang w:val="tr-TR"/>
              </w:rPr>
            </w:pPr>
            <w:r w:rsidRPr="0054547D">
              <w:rPr>
                <w:rFonts w:asciiTheme="majorHAnsi" w:hAnsiTheme="majorHAnsi" w:cstheme="majorHAnsi"/>
                <w:sz w:val="22"/>
                <w:szCs w:val="22"/>
                <w:lang w:val="tr-TR"/>
              </w:rPr>
              <w:t>Bildirimler</w:t>
            </w:r>
          </w:p>
        </w:tc>
        <w:tc>
          <w:tcPr>
            <w:tcW w:w="2413" w:type="dxa"/>
            <w:shd w:val="clear" w:color="auto" w:fill="FFC000"/>
          </w:tcPr>
          <w:p w14:paraId="7FAE0AB2" w14:textId="77777777" w:rsidR="0054547D" w:rsidRPr="0054547D" w:rsidRDefault="0054547D" w:rsidP="0054547D">
            <w:pPr>
              <w:spacing w:before="1"/>
              <w:rPr>
                <w:rFonts w:asciiTheme="majorHAnsi" w:hAnsiTheme="majorHAnsi" w:cstheme="majorHAnsi"/>
                <w:sz w:val="22"/>
                <w:szCs w:val="22"/>
                <w:lang w:val="tr-TR"/>
              </w:rPr>
            </w:pPr>
          </w:p>
          <w:p w14:paraId="52DD5E73" w14:textId="77777777" w:rsidR="0054547D" w:rsidRPr="0054547D" w:rsidRDefault="0054547D" w:rsidP="0054547D">
            <w:pPr>
              <w:ind w:left="364"/>
              <w:rPr>
                <w:rFonts w:asciiTheme="majorHAnsi" w:hAnsiTheme="majorHAnsi" w:cstheme="majorHAnsi"/>
                <w:sz w:val="22"/>
                <w:szCs w:val="22"/>
                <w:lang w:val="tr-TR"/>
              </w:rPr>
            </w:pPr>
            <w:r w:rsidRPr="0054547D">
              <w:rPr>
                <w:rFonts w:asciiTheme="majorHAnsi" w:hAnsiTheme="majorHAnsi" w:cstheme="majorHAnsi"/>
                <w:sz w:val="22"/>
                <w:szCs w:val="22"/>
                <w:lang w:val="tr-TR"/>
              </w:rPr>
              <w:t>Başvuru Tarihi</w:t>
            </w:r>
          </w:p>
        </w:tc>
      </w:tr>
      <w:tr w:rsidR="0054547D" w:rsidRPr="0054547D" w14:paraId="3E1C7EF6" w14:textId="77777777" w:rsidTr="00F01EF8">
        <w:trPr>
          <w:trHeight w:val="985"/>
        </w:trPr>
        <w:tc>
          <w:tcPr>
            <w:tcW w:w="7509" w:type="dxa"/>
          </w:tcPr>
          <w:p w14:paraId="0FAC484F" w14:textId="77777777" w:rsidR="0054547D" w:rsidRPr="0054547D" w:rsidRDefault="0054547D" w:rsidP="0054547D">
            <w:pPr>
              <w:spacing w:before="65" w:line="295" w:lineRule="auto"/>
              <w:ind w:left="107" w:right="101"/>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Yurt dışında bulunan para, altın, döviz, menkul kıymet ve diğer sermaye piyasası araçlarının, maddedeki hükümler çerçevesinde, Türkiye’deki banka veya aracı kurumlara bildirilme süresi</w:t>
            </w:r>
          </w:p>
        </w:tc>
        <w:tc>
          <w:tcPr>
            <w:tcW w:w="2413" w:type="dxa"/>
          </w:tcPr>
          <w:p w14:paraId="5F5ECA00" w14:textId="77777777" w:rsidR="0054547D" w:rsidRPr="0054547D" w:rsidRDefault="0054547D" w:rsidP="0054547D">
            <w:pPr>
              <w:rPr>
                <w:rFonts w:asciiTheme="majorHAnsi" w:hAnsiTheme="majorHAnsi" w:cstheme="majorHAnsi"/>
                <w:sz w:val="22"/>
                <w:szCs w:val="22"/>
                <w:lang w:val="tr-TR"/>
              </w:rPr>
            </w:pPr>
          </w:p>
          <w:p w14:paraId="527850E5" w14:textId="77777777" w:rsidR="0054547D" w:rsidRPr="0054547D" w:rsidRDefault="0054547D" w:rsidP="0054547D">
            <w:pPr>
              <w:spacing w:before="8"/>
              <w:rPr>
                <w:rFonts w:asciiTheme="majorHAnsi" w:hAnsiTheme="majorHAnsi" w:cstheme="majorHAnsi"/>
                <w:sz w:val="22"/>
                <w:szCs w:val="22"/>
                <w:lang w:val="tr-TR"/>
              </w:rPr>
            </w:pPr>
          </w:p>
          <w:p w14:paraId="6CC4346F" w14:textId="77777777" w:rsidR="0054547D" w:rsidRPr="0054547D" w:rsidRDefault="0054547D" w:rsidP="0054547D">
            <w:pPr>
              <w:ind w:left="325"/>
              <w:rPr>
                <w:rFonts w:asciiTheme="majorHAnsi" w:hAnsiTheme="majorHAnsi" w:cstheme="majorHAnsi"/>
                <w:sz w:val="22"/>
                <w:szCs w:val="22"/>
                <w:lang w:val="tr-TR"/>
              </w:rPr>
            </w:pPr>
            <w:r w:rsidRPr="0054547D">
              <w:rPr>
                <w:rFonts w:asciiTheme="majorHAnsi" w:hAnsiTheme="majorHAnsi" w:cstheme="majorHAnsi"/>
                <w:sz w:val="22"/>
                <w:szCs w:val="22"/>
                <w:lang w:val="tr-TR"/>
              </w:rPr>
              <w:t>30 Haziran 2022</w:t>
            </w:r>
          </w:p>
        </w:tc>
      </w:tr>
      <w:tr w:rsidR="0054547D" w:rsidRPr="0054547D" w14:paraId="152B617C" w14:textId="77777777" w:rsidTr="00F01EF8">
        <w:trPr>
          <w:trHeight w:val="1893"/>
        </w:trPr>
        <w:tc>
          <w:tcPr>
            <w:tcW w:w="7509" w:type="dxa"/>
          </w:tcPr>
          <w:p w14:paraId="663F67ED" w14:textId="77777777" w:rsidR="0054547D" w:rsidRPr="0054547D" w:rsidRDefault="0054547D" w:rsidP="0054547D">
            <w:pPr>
              <w:spacing w:before="65" w:line="295" w:lineRule="auto"/>
              <w:ind w:left="107" w:right="99"/>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Bu varlıkların, yurt dışında bulunan banka veya finansal kurumlardan kullanılan ve bu maddenin yürürlük tarihi itibarıyla kanuni defterlerde kayıtlı olan kredilerin kapatılmasında kullanılmasının son tarihi</w:t>
            </w:r>
          </w:p>
          <w:p w14:paraId="2982D0A8" w14:textId="77777777" w:rsidR="0054547D" w:rsidRPr="0054547D" w:rsidRDefault="0054547D" w:rsidP="0054547D">
            <w:pPr>
              <w:spacing w:before="2" w:line="295" w:lineRule="auto"/>
              <w:ind w:left="107" w:right="97" w:firstLine="67"/>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(Bu takdirde, defter kayıtlarından düşülmesi kaydıyla, borcun ödenmesinde kullanılan varlıklar için Türkiye’ye getirilme şartı aranmaksızın bu madde hükümlerinden yararlanılacaktır)</w:t>
            </w:r>
          </w:p>
        </w:tc>
        <w:tc>
          <w:tcPr>
            <w:tcW w:w="2413" w:type="dxa"/>
          </w:tcPr>
          <w:p w14:paraId="1A8B838B" w14:textId="77777777" w:rsidR="0054547D" w:rsidRPr="0054547D" w:rsidRDefault="0054547D" w:rsidP="0054547D">
            <w:pPr>
              <w:rPr>
                <w:rFonts w:asciiTheme="majorHAnsi" w:hAnsiTheme="majorHAnsi" w:cstheme="majorHAnsi"/>
                <w:sz w:val="22"/>
                <w:szCs w:val="22"/>
                <w:lang w:val="tr-TR"/>
              </w:rPr>
            </w:pPr>
          </w:p>
          <w:p w14:paraId="75421C0C" w14:textId="77777777" w:rsidR="0054547D" w:rsidRPr="0054547D" w:rsidRDefault="0054547D" w:rsidP="0054547D">
            <w:pPr>
              <w:rPr>
                <w:rFonts w:asciiTheme="majorHAnsi" w:hAnsiTheme="majorHAnsi" w:cstheme="majorHAnsi"/>
                <w:sz w:val="22"/>
                <w:szCs w:val="22"/>
                <w:lang w:val="tr-TR"/>
              </w:rPr>
            </w:pPr>
          </w:p>
          <w:p w14:paraId="043AED2D" w14:textId="77777777" w:rsidR="0054547D" w:rsidRPr="0054547D" w:rsidRDefault="0054547D" w:rsidP="0054547D">
            <w:pPr>
              <w:rPr>
                <w:rFonts w:asciiTheme="majorHAnsi" w:hAnsiTheme="majorHAnsi" w:cstheme="majorHAnsi"/>
                <w:sz w:val="22"/>
                <w:szCs w:val="22"/>
                <w:lang w:val="tr-TR"/>
              </w:rPr>
            </w:pPr>
          </w:p>
          <w:p w14:paraId="63A991B7" w14:textId="77777777" w:rsidR="0054547D" w:rsidRPr="0054547D" w:rsidRDefault="0054547D" w:rsidP="0054547D">
            <w:pPr>
              <w:spacing w:before="2"/>
              <w:rPr>
                <w:rFonts w:asciiTheme="majorHAnsi" w:hAnsiTheme="majorHAnsi" w:cstheme="majorHAnsi"/>
                <w:sz w:val="22"/>
                <w:szCs w:val="22"/>
                <w:lang w:val="tr-TR"/>
              </w:rPr>
            </w:pPr>
          </w:p>
          <w:p w14:paraId="7B48066C" w14:textId="77777777" w:rsidR="0054547D" w:rsidRPr="0054547D" w:rsidRDefault="0054547D" w:rsidP="0054547D">
            <w:pPr>
              <w:ind w:left="325"/>
              <w:rPr>
                <w:rFonts w:asciiTheme="majorHAnsi" w:hAnsiTheme="majorHAnsi" w:cstheme="majorHAnsi"/>
                <w:sz w:val="22"/>
                <w:szCs w:val="22"/>
                <w:lang w:val="tr-TR"/>
              </w:rPr>
            </w:pPr>
            <w:r w:rsidRPr="0054547D">
              <w:rPr>
                <w:rFonts w:asciiTheme="majorHAnsi" w:hAnsiTheme="majorHAnsi" w:cstheme="majorHAnsi"/>
                <w:sz w:val="22"/>
                <w:szCs w:val="22"/>
                <w:lang w:val="tr-TR"/>
              </w:rPr>
              <w:t>30 Haziran 2022</w:t>
            </w:r>
          </w:p>
        </w:tc>
      </w:tr>
      <w:tr w:rsidR="0054547D" w:rsidRPr="0054547D" w14:paraId="2BC3D8C0" w14:textId="77777777" w:rsidTr="00F01EF8">
        <w:trPr>
          <w:trHeight w:val="2093"/>
        </w:trPr>
        <w:tc>
          <w:tcPr>
            <w:tcW w:w="7509" w:type="dxa"/>
          </w:tcPr>
          <w:p w14:paraId="3C479C74" w14:textId="77777777" w:rsidR="0054547D" w:rsidRPr="0054547D" w:rsidRDefault="0054547D" w:rsidP="0054547D">
            <w:pPr>
              <w:spacing w:before="1"/>
              <w:rPr>
                <w:rFonts w:asciiTheme="majorHAnsi" w:hAnsiTheme="majorHAnsi" w:cstheme="majorHAnsi"/>
                <w:sz w:val="22"/>
                <w:szCs w:val="22"/>
                <w:lang w:val="tr-TR"/>
              </w:rPr>
            </w:pPr>
          </w:p>
          <w:p w14:paraId="2249CFC8" w14:textId="77777777" w:rsidR="0054547D" w:rsidRPr="0054547D" w:rsidRDefault="0054547D" w:rsidP="0054547D">
            <w:pPr>
              <w:spacing w:line="295" w:lineRule="auto"/>
              <w:ind w:left="107" w:right="101"/>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Gelir veya kurumlar vergisi mükelleflerince sahip olunan ve Türkiye’de bulunan ancak kanuni defter kayıtlarında yer almayan para, altın, döviz, menkul kıymet ve diğer sermaye piyasası araçları ile taşınmazların, vergi dairelerine bildirilme süresi</w:t>
            </w:r>
          </w:p>
          <w:p w14:paraId="04B4E3A2" w14:textId="77777777" w:rsidR="0054547D" w:rsidRPr="0054547D" w:rsidRDefault="0054547D" w:rsidP="0054547D">
            <w:pPr>
              <w:spacing w:before="3"/>
              <w:ind w:left="107"/>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(Bildirilen söz konusu varlıklar, 30 Haziran 2022 tarihine kadar,</w:t>
            </w:r>
          </w:p>
          <w:p w14:paraId="2A8D6544" w14:textId="77777777" w:rsidR="0054547D" w:rsidRPr="0054547D" w:rsidRDefault="0054547D" w:rsidP="0054547D">
            <w:pPr>
              <w:spacing w:line="340" w:lineRule="atLeast"/>
              <w:ind w:left="107" w:right="103"/>
              <w:jc w:val="both"/>
              <w:rPr>
                <w:rFonts w:asciiTheme="majorHAnsi" w:hAnsiTheme="majorHAnsi" w:cstheme="majorHAnsi"/>
                <w:sz w:val="22"/>
                <w:szCs w:val="22"/>
                <w:lang w:val="tr-TR"/>
              </w:rPr>
            </w:pPr>
            <w:r w:rsidRPr="0054547D">
              <w:rPr>
                <w:rFonts w:asciiTheme="majorHAnsi" w:hAnsiTheme="majorHAnsi" w:cstheme="majorHAnsi"/>
                <w:sz w:val="22"/>
                <w:szCs w:val="22"/>
                <w:lang w:val="tr-TR"/>
              </w:rPr>
              <w:t>dönem kazancının tespitinde dikkate alınmaksızın kanuni defterlere kaydedilebilir.</w:t>
            </w:r>
          </w:p>
        </w:tc>
        <w:tc>
          <w:tcPr>
            <w:tcW w:w="2413" w:type="dxa"/>
          </w:tcPr>
          <w:p w14:paraId="0D72AA03" w14:textId="77777777" w:rsidR="0054547D" w:rsidRPr="0054547D" w:rsidRDefault="0054547D" w:rsidP="0054547D">
            <w:pPr>
              <w:rPr>
                <w:rFonts w:asciiTheme="majorHAnsi" w:hAnsiTheme="majorHAnsi" w:cstheme="majorHAnsi"/>
                <w:sz w:val="22"/>
                <w:szCs w:val="22"/>
                <w:lang w:val="tr-TR"/>
              </w:rPr>
            </w:pPr>
          </w:p>
          <w:p w14:paraId="02F0F36F" w14:textId="77777777" w:rsidR="0054547D" w:rsidRPr="0054547D" w:rsidRDefault="0054547D" w:rsidP="0054547D">
            <w:pPr>
              <w:rPr>
                <w:rFonts w:asciiTheme="majorHAnsi" w:hAnsiTheme="majorHAnsi" w:cstheme="majorHAnsi"/>
                <w:sz w:val="22"/>
                <w:szCs w:val="22"/>
                <w:lang w:val="tr-TR"/>
              </w:rPr>
            </w:pPr>
          </w:p>
          <w:p w14:paraId="70B7A198" w14:textId="77777777" w:rsidR="0054547D" w:rsidRPr="0054547D" w:rsidRDefault="0054547D" w:rsidP="0054547D">
            <w:pPr>
              <w:rPr>
                <w:rFonts w:asciiTheme="majorHAnsi" w:hAnsiTheme="majorHAnsi" w:cstheme="majorHAnsi"/>
                <w:sz w:val="22"/>
                <w:szCs w:val="22"/>
                <w:lang w:val="tr-TR"/>
              </w:rPr>
            </w:pPr>
          </w:p>
          <w:p w14:paraId="4FBF2DDF" w14:textId="77777777" w:rsidR="0054547D" w:rsidRPr="0054547D" w:rsidRDefault="0054547D" w:rsidP="0054547D">
            <w:pPr>
              <w:rPr>
                <w:rFonts w:asciiTheme="majorHAnsi" w:hAnsiTheme="majorHAnsi" w:cstheme="majorHAnsi"/>
                <w:sz w:val="22"/>
                <w:szCs w:val="22"/>
                <w:lang w:val="tr-TR"/>
              </w:rPr>
            </w:pPr>
          </w:p>
          <w:p w14:paraId="744F92E9" w14:textId="77777777" w:rsidR="0054547D" w:rsidRPr="0054547D" w:rsidRDefault="0054547D" w:rsidP="0054547D">
            <w:pPr>
              <w:ind w:left="325"/>
              <w:rPr>
                <w:rFonts w:asciiTheme="majorHAnsi" w:hAnsiTheme="majorHAnsi" w:cstheme="majorHAnsi"/>
                <w:sz w:val="22"/>
                <w:szCs w:val="22"/>
                <w:lang w:val="tr-TR"/>
              </w:rPr>
            </w:pPr>
            <w:r w:rsidRPr="0054547D">
              <w:rPr>
                <w:rFonts w:asciiTheme="majorHAnsi" w:hAnsiTheme="majorHAnsi" w:cstheme="majorHAnsi"/>
                <w:sz w:val="22"/>
                <w:szCs w:val="22"/>
                <w:lang w:val="tr-TR"/>
              </w:rPr>
              <w:t>30 Haziran 2022</w:t>
            </w:r>
          </w:p>
        </w:tc>
      </w:tr>
    </w:tbl>
    <w:p w14:paraId="3492FC26" w14:textId="05E013FA" w:rsidR="0054547D" w:rsidRDefault="0054547D" w:rsidP="00852BE8">
      <w:pPr>
        <w:spacing w:line="330" w:lineRule="atLeast"/>
        <w:textAlignment w:val="baseline"/>
        <w:rPr>
          <w:rFonts w:asciiTheme="majorHAnsi" w:hAnsiTheme="majorHAnsi" w:cstheme="majorHAnsi"/>
          <w:sz w:val="22"/>
          <w:szCs w:val="22"/>
        </w:rPr>
      </w:pPr>
    </w:p>
    <w:p w14:paraId="76B790BC" w14:textId="77777777" w:rsidR="00F01EF8" w:rsidRPr="00F01EF8"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Düzenleme 7186 sayılı Kanunu’nun 2 nci maddesi ile Gelir Vergisi Kanunu’na eklenen Geçici</w:t>
      </w:r>
    </w:p>
    <w:p w14:paraId="7B38718E" w14:textId="77777777" w:rsidR="00F01EF8" w:rsidRPr="00F01EF8"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90’ıncı madde düzenlemelerine paralel düzenlemeler içermektedir. Ancak başvuru süresi</w:t>
      </w:r>
    </w:p>
    <w:p w14:paraId="3F695F21" w14:textId="77777777" w:rsidR="00F01EF8" w:rsidRPr="00F01EF8"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dolan Geçici 90 ıncı madde düzenlemesinde, banka ve aracı kurumlar ile vergi dairesine</w:t>
      </w:r>
    </w:p>
    <w:p w14:paraId="48734948" w14:textId="77777777" w:rsidR="00F01EF8" w:rsidRPr="00F01EF8"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yapılacak beyanlar üzerinden %1 oranında vergi tarh edilmekteydi.</w:t>
      </w:r>
    </w:p>
    <w:p w14:paraId="09CF3643" w14:textId="77777777" w:rsidR="00F01EF8" w:rsidRPr="00F01EF8"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7256 sayılı düzenlemeye göre ise söz konusu varlıkların Türkiye’ye getirilmesi ya da sadece</w:t>
      </w:r>
    </w:p>
    <w:p w14:paraId="1D6A3FE4" w14:textId="6D61596A" w:rsidR="0054547D" w:rsidRDefault="00F01EF8" w:rsidP="00F01EF8">
      <w:pPr>
        <w:spacing w:line="330" w:lineRule="atLeast"/>
        <w:textAlignment w:val="baseline"/>
        <w:rPr>
          <w:rFonts w:asciiTheme="majorHAnsi" w:hAnsiTheme="majorHAnsi" w:cstheme="majorHAnsi"/>
          <w:sz w:val="22"/>
          <w:szCs w:val="22"/>
        </w:rPr>
      </w:pPr>
      <w:r w:rsidRPr="00F01EF8">
        <w:rPr>
          <w:rFonts w:asciiTheme="majorHAnsi" w:hAnsiTheme="majorHAnsi" w:cstheme="majorHAnsi"/>
          <w:sz w:val="22"/>
          <w:szCs w:val="22"/>
        </w:rPr>
        <w:t>bildirimde bulunulması durumunda, herhangi bir vergi ödenmesi söz konusu değildir.</w:t>
      </w:r>
      <w:r w:rsidRPr="00F01EF8">
        <w:rPr>
          <w:rFonts w:asciiTheme="majorHAnsi" w:hAnsiTheme="majorHAnsi" w:cstheme="majorHAnsi"/>
          <w:sz w:val="22"/>
          <w:szCs w:val="22"/>
        </w:rPr>
        <w:cr/>
      </w:r>
    </w:p>
    <w:p w14:paraId="661A90E7" w14:textId="77777777" w:rsidR="009E76F9" w:rsidRDefault="009E76F9" w:rsidP="009E76F9">
      <w:pPr>
        <w:tabs>
          <w:tab w:val="left" w:pos="2604"/>
          <w:tab w:val="left" w:pos="2970"/>
        </w:tabs>
        <w:spacing w:line="330" w:lineRule="atLeast"/>
        <w:textAlignment w:val="baseline"/>
        <w:rPr>
          <w:b/>
          <w:bCs/>
        </w:rPr>
      </w:pPr>
      <w:r w:rsidRPr="0005394D">
        <w:rPr>
          <w:b/>
          <w:bCs/>
        </w:rPr>
        <w:t>Bilgilerinize sunulur.</w:t>
      </w:r>
      <w:r>
        <w:rPr>
          <w:b/>
          <w:bCs/>
        </w:rPr>
        <w:tab/>
      </w:r>
    </w:p>
    <w:p w14:paraId="6B431F4A" w14:textId="570248BA" w:rsidR="003A7B27" w:rsidRPr="008D46C6" w:rsidRDefault="009E76F9" w:rsidP="00D17E30">
      <w:pPr>
        <w:tabs>
          <w:tab w:val="left" w:pos="2604"/>
        </w:tabs>
        <w:spacing w:line="330" w:lineRule="atLeast"/>
        <w:textAlignment w:val="baseline"/>
        <w:rPr>
          <w:rFonts w:asciiTheme="majorHAnsi" w:hAnsiTheme="majorHAnsi" w:cstheme="majorHAnsi"/>
          <w:b/>
          <w:bCs/>
        </w:rPr>
      </w:pPr>
      <w:r w:rsidRPr="0005394D">
        <w:rPr>
          <w:b/>
          <w:bCs/>
        </w:rPr>
        <w:t>S</w:t>
      </w:r>
      <w:r w:rsidRPr="009D4954">
        <w:rPr>
          <w:b/>
          <w:bCs/>
        </w:rPr>
        <w:t>aygılarımızla…</w:t>
      </w:r>
    </w:p>
    <w:sectPr w:rsidR="003A7B27" w:rsidRPr="008D46C6"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CD4B2" w14:textId="77777777" w:rsidR="00496A90" w:rsidRDefault="00496A90" w:rsidP="006A7CD4">
      <w:r>
        <w:separator/>
      </w:r>
    </w:p>
  </w:endnote>
  <w:endnote w:type="continuationSeparator" w:id="0">
    <w:p w14:paraId="4FFDCE48" w14:textId="77777777" w:rsidR="00496A90" w:rsidRDefault="00496A90"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D856" w14:textId="77777777" w:rsidR="00496A90" w:rsidRDefault="00496A90" w:rsidP="006A7CD4">
      <w:r>
        <w:separator/>
      </w:r>
    </w:p>
  </w:footnote>
  <w:footnote w:type="continuationSeparator" w:id="0">
    <w:p w14:paraId="281B5D9B" w14:textId="77777777" w:rsidR="00496A90" w:rsidRDefault="00496A90"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abstractNumId w:val="25"/>
  </w:num>
  <w:num w:numId="2">
    <w:abstractNumId w:val="13"/>
  </w:num>
  <w:num w:numId="3">
    <w:abstractNumId w:val="7"/>
  </w:num>
  <w:num w:numId="4">
    <w:abstractNumId w:val="8"/>
  </w:num>
  <w:num w:numId="5">
    <w:abstractNumId w:val="12"/>
  </w:num>
  <w:num w:numId="6">
    <w:abstractNumId w:val="20"/>
  </w:num>
  <w:num w:numId="7">
    <w:abstractNumId w:val="17"/>
  </w:num>
  <w:num w:numId="8">
    <w:abstractNumId w:val="11"/>
  </w:num>
  <w:num w:numId="9">
    <w:abstractNumId w:val="3"/>
  </w:num>
  <w:num w:numId="10">
    <w:abstractNumId w:val="27"/>
  </w:num>
  <w:num w:numId="11">
    <w:abstractNumId w:val="9"/>
  </w:num>
  <w:num w:numId="12">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0"/>
  </w:num>
  <w:num w:numId="15">
    <w:abstractNumId w:val="26"/>
  </w:num>
  <w:num w:numId="16">
    <w:abstractNumId w:val="6"/>
  </w:num>
  <w:num w:numId="17">
    <w:abstractNumId w:val="4"/>
  </w:num>
  <w:num w:numId="18">
    <w:abstractNumId w:val="16"/>
  </w:num>
  <w:num w:numId="19">
    <w:abstractNumId w:val="28"/>
  </w:num>
  <w:num w:numId="20">
    <w:abstractNumId w:val="5"/>
  </w:num>
  <w:num w:numId="21">
    <w:abstractNumId w:val="21"/>
  </w:num>
  <w:num w:numId="22">
    <w:abstractNumId w:val="15"/>
  </w:num>
  <w:num w:numId="23">
    <w:abstractNumId w:val="0"/>
  </w:num>
  <w:num w:numId="24">
    <w:abstractNumId w:val="33"/>
  </w:num>
  <w:num w:numId="25">
    <w:abstractNumId w:val="18"/>
  </w:num>
  <w:num w:numId="26">
    <w:abstractNumId w:val="34"/>
  </w:num>
  <w:num w:numId="27">
    <w:abstractNumId w:val="14"/>
  </w:num>
  <w:num w:numId="28">
    <w:abstractNumId w:val="12"/>
    <w:lvlOverride w:ilvl="0">
      <w:startOverride w:val="1"/>
    </w:lvlOverride>
  </w:num>
  <w:num w:numId="29">
    <w:abstractNumId w:val="22"/>
  </w:num>
  <w:num w:numId="30">
    <w:abstractNumId w:val="31"/>
  </w:num>
  <w:num w:numId="31">
    <w:abstractNumId w:val="2"/>
  </w:num>
  <w:num w:numId="32">
    <w:abstractNumId w:val="24"/>
  </w:num>
  <w:num w:numId="33">
    <w:abstractNumId w:val="23"/>
  </w:num>
  <w:num w:numId="34">
    <w:abstractNumId w:val="29"/>
  </w:num>
  <w:num w:numId="35">
    <w:abstractNumId w:val="32"/>
  </w:num>
  <w:num w:numId="36">
    <w:abstractNumId w:val="19"/>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417D"/>
    <w:rsid w:val="000166B0"/>
    <w:rsid w:val="00016DBE"/>
    <w:rsid w:val="0002015F"/>
    <w:rsid w:val="00020354"/>
    <w:rsid w:val="000211B4"/>
    <w:rsid w:val="00021455"/>
    <w:rsid w:val="00021B81"/>
    <w:rsid w:val="00024674"/>
    <w:rsid w:val="00031447"/>
    <w:rsid w:val="00035A96"/>
    <w:rsid w:val="000373A3"/>
    <w:rsid w:val="000424F5"/>
    <w:rsid w:val="0004599B"/>
    <w:rsid w:val="000575C9"/>
    <w:rsid w:val="00064834"/>
    <w:rsid w:val="00067483"/>
    <w:rsid w:val="00081FDE"/>
    <w:rsid w:val="00087B4F"/>
    <w:rsid w:val="000931EE"/>
    <w:rsid w:val="000A113D"/>
    <w:rsid w:val="000B2DC3"/>
    <w:rsid w:val="000B60CD"/>
    <w:rsid w:val="000B6587"/>
    <w:rsid w:val="000C01EF"/>
    <w:rsid w:val="000D5CCA"/>
    <w:rsid w:val="000D6E15"/>
    <w:rsid w:val="000E1D2D"/>
    <w:rsid w:val="000F2DEA"/>
    <w:rsid w:val="000F33C3"/>
    <w:rsid w:val="0010072C"/>
    <w:rsid w:val="00100BD4"/>
    <w:rsid w:val="001012C7"/>
    <w:rsid w:val="00105F38"/>
    <w:rsid w:val="001123CC"/>
    <w:rsid w:val="00115CCB"/>
    <w:rsid w:val="001269DE"/>
    <w:rsid w:val="00133239"/>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F0455"/>
    <w:rsid w:val="001F4804"/>
    <w:rsid w:val="00203248"/>
    <w:rsid w:val="00203F69"/>
    <w:rsid w:val="0020521B"/>
    <w:rsid w:val="002052DD"/>
    <w:rsid w:val="00206C40"/>
    <w:rsid w:val="0021106B"/>
    <w:rsid w:val="00212F4A"/>
    <w:rsid w:val="00220E43"/>
    <w:rsid w:val="002253D5"/>
    <w:rsid w:val="00226B84"/>
    <w:rsid w:val="0023510B"/>
    <w:rsid w:val="00243955"/>
    <w:rsid w:val="0024617D"/>
    <w:rsid w:val="002516D6"/>
    <w:rsid w:val="00263B88"/>
    <w:rsid w:val="00267C8C"/>
    <w:rsid w:val="002730EB"/>
    <w:rsid w:val="00281DEA"/>
    <w:rsid w:val="00284332"/>
    <w:rsid w:val="002846D7"/>
    <w:rsid w:val="002856ED"/>
    <w:rsid w:val="0028601A"/>
    <w:rsid w:val="002871E6"/>
    <w:rsid w:val="00287FFC"/>
    <w:rsid w:val="00294181"/>
    <w:rsid w:val="002B4046"/>
    <w:rsid w:val="002B6879"/>
    <w:rsid w:val="002B7A79"/>
    <w:rsid w:val="002C3CDE"/>
    <w:rsid w:val="002C418E"/>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31"/>
    <w:rsid w:val="00312E70"/>
    <w:rsid w:val="00313EDA"/>
    <w:rsid w:val="003207CA"/>
    <w:rsid w:val="00321AF2"/>
    <w:rsid w:val="00340B9C"/>
    <w:rsid w:val="0034417F"/>
    <w:rsid w:val="00350C8A"/>
    <w:rsid w:val="00353E77"/>
    <w:rsid w:val="003567D4"/>
    <w:rsid w:val="00356BE8"/>
    <w:rsid w:val="00361335"/>
    <w:rsid w:val="00366978"/>
    <w:rsid w:val="0036786C"/>
    <w:rsid w:val="00373527"/>
    <w:rsid w:val="00376B57"/>
    <w:rsid w:val="003813AE"/>
    <w:rsid w:val="0039313C"/>
    <w:rsid w:val="003963E8"/>
    <w:rsid w:val="00397E52"/>
    <w:rsid w:val="003A3E43"/>
    <w:rsid w:val="003A55D8"/>
    <w:rsid w:val="003A6B2F"/>
    <w:rsid w:val="003A7B27"/>
    <w:rsid w:val="003B3DBA"/>
    <w:rsid w:val="003B47D3"/>
    <w:rsid w:val="003C2F42"/>
    <w:rsid w:val="003D0082"/>
    <w:rsid w:val="003D3471"/>
    <w:rsid w:val="003D3715"/>
    <w:rsid w:val="003D6F83"/>
    <w:rsid w:val="003D7E0B"/>
    <w:rsid w:val="003E78B9"/>
    <w:rsid w:val="00400178"/>
    <w:rsid w:val="00401129"/>
    <w:rsid w:val="0040189A"/>
    <w:rsid w:val="004108B9"/>
    <w:rsid w:val="00410F56"/>
    <w:rsid w:val="004158C4"/>
    <w:rsid w:val="004202A4"/>
    <w:rsid w:val="00421040"/>
    <w:rsid w:val="00421873"/>
    <w:rsid w:val="00422AFD"/>
    <w:rsid w:val="004244A0"/>
    <w:rsid w:val="00431A93"/>
    <w:rsid w:val="004366C2"/>
    <w:rsid w:val="004426FF"/>
    <w:rsid w:val="00445FFE"/>
    <w:rsid w:val="00446FF2"/>
    <w:rsid w:val="00452C2D"/>
    <w:rsid w:val="00455FE7"/>
    <w:rsid w:val="0046207A"/>
    <w:rsid w:val="00463538"/>
    <w:rsid w:val="00463E8B"/>
    <w:rsid w:val="004657C0"/>
    <w:rsid w:val="00466485"/>
    <w:rsid w:val="00466F3B"/>
    <w:rsid w:val="004726EC"/>
    <w:rsid w:val="00481F80"/>
    <w:rsid w:val="00485319"/>
    <w:rsid w:val="004859DB"/>
    <w:rsid w:val="0048663B"/>
    <w:rsid w:val="00487210"/>
    <w:rsid w:val="0049075C"/>
    <w:rsid w:val="00490A82"/>
    <w:rsid w:val="00491291"/>
    <w:rsid w:val="00491599"/>
    <w:rsid w:val="00496A90"/>
    <w:rsid w:val="004A4479"/>
    <w:rsid w:val="004A46D0"/>
    <w:rsid w:val="004A61F6"/>
    <w:rsid w:val="004A7AAF"/>
    <w:rsid w:val="004B2586"/>
    <w:rsid w:val="004C15C7"/>
    <w:rsid w:val="004C6706"/>
    <w:rsid w:val="004C7A0A"/>
    <w:rsid w:val="004D7AE2"/>
    <w:rsid w:val="004E23ED"/>
    <w:rsid w:val="004E3AD9"/>
    <w:rsid w:val="004E6310"/>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547D"/>
    <w:rsid w:val="00547343"/>
    <w:rsid w:val="005508F5"/>
    <w:rsid w:val="0055193F"/>
    <w:rsid w:val="00552198"/>
    <w:rsid w:val="005550D1"/>
    <w:rsid w:val="00555FCC"/>
    <w:rsid w:val="00556F76"/>
    <w:rsid w:val="00560F2E"/>
    <w:rsid w:val="00564C02"/>
    <w:rsid w:val="00570B49"/>
    <w:rsid w:val="005721DD"/>
    <w:rsid w:val="005764B7"/>
    <w:rsid w:val="00583974"/>
    <w:rsid w:val="00594B0C"/>
    <w:rsid w:val="005A09B5"/>
    <w:rsid w:val="005A16E1"/>
    <w:rsid w:val="005A280E"/>
    <w:rsid w:val="005A3411"/>
    <w:rsid w:val="005A34B7"/>
    <w:rsid w:val="005B606E"/>
    <w:rsid w:val="005C14AA"/>
    <w:rsid w:val="005C1C42"/>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3740C"/>
    <w:rsid w:val="006402D2"/>
    <w:rsid w:val="006549A7"/>
    <w:rsid w:val="00655E5F"/>
    <w:rsid w:val="00656CBA"/>
    <w:rsid w:val="00664B38"/>
    <w:rsid w:val="00665E86"/>
    <w:rsid w:val="00667784"/>
    <w:rsid w:val="00667D57"/>
    <w:rsid w:val="00675DA5"/>
    <w:rsid w:val="00683742"/>
    <w:rsid w:val="00686229"/>
    <w:rsid w:val="0068631C"/>
    <w:rsid w:val="006978FB"/>
    <w:rsid w:val="006A173D"/>
    <w:rsid w:val="006A4848"/>
    <w:rsid w:val="006A7CD4"/>
    <w:rsid w:val="006A7EF7"/>
    <w:rsid w:val="006B6F04"/>
    <w:rsid w:val="006C4385"/>
    <w:rsid w:val="006D069F"/>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5124"/>
    <w:rsid w:val="0073703D"/>
    <w:rsid w:val="00744D6E"/>
    <w:rsid w:val="007573E8"/>
    <w:rsid w:val="007634B7"/>
    <w:rsid w:val="007636B5"/>
    <w:rsid w:val="007637D7"/>
    <w:rsid w:val="00764D77"/>
    <w:rsid w:val="007743F9"/>
    <w:rsid w:val="007772C8"/>
    <w:rsid w:val="00784DC1"/>
    <w:rsid w:val="007852FA"/>
    <w:rsid w:val="0078631A"/>
    <w:rsid w:val="007A06E5"/>
    <w:rsid w:val="007A2606"/>
    <w:rsid w:val="007A4DD8"/>
    <w:rsid w:val="007A70C7"/>
    <w:rsid w:val="007B11A6"/>
    <w:rsid w:val="007C3E2C"/>
    <w:rsid w:val="007D7BE1"/>
    <w:rsid w:val="007E092B"/>
    <w:rsid w:val="007E42B9"/>
    <w:rsid w:val="007F0D2E"/>
    <w:rsid w:val="00801AD8"/>
    <w:rsid w:val="00813FA5"/>
    <w:rsid w:val="008213D9"/>
    <w:rsid w:val="008252C0"/>
    <w:rsid w:val="0083315A"/>
    <w:rsid w:val="00852BE8"/>
    <w:rsid w:val="00855853"/>
    <w:rsid w:val="00861B4D"/>
    <w:rsid w:val="00863EEA"/>
    <w:rsid w:val="00866B77"/>
    <w:rsid w:val="008711CA"/>
    <w:rsid w:val="00876BB4"/>
    <w:rsid w:val="0088044B"/>
    <w:rsid w:val="0088071B"/>
    <w:rsid w:val="00890EE5"/>
    <w:rsid w:val="00893FF1"/>
    <w:rsid w:val="008959D8"/>
    <w:rsid w:val="008964F6"/>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54151"/>
    <w:rsid w:val="0095503D"/>
    <w:rsid w:val="0096158D"/>
    <w:rsid w:val="00970D6F"/>
    <w:rsid w:val="00974222"/>
    <w:rsid w:val="009759D3"/>
    <w:rsid w:val="00976AD3"/>
    <w:rsid w:val="00980CD3"/>
    <w:rsid w:val="00983B75"/>
    <w:rsid w:val="00992109"/>
    <w:rsid w:val="00993F54"/>
    <w:rsid w:val="00997197"/>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51BC"/>
    <w:rsid w:val="00A26448"/>
    <w:rsid w:val="00A327C9"/>
    <w:rsid w:val="00A332BD"/>
    <w:rsid w:val="00A3580B"/>
    <w:rsid w:val="00A41A39"/>
    <w:rsid w:val="00A41AA9"/>
    <w:rsid w:val="00A4574A"/>
    <w:rsid w:val="00A45F91"/>
    <w:rsid w:val="00A46FD5"/>
    <w:rsid w:val="00A51DA4"/>
    <w:rsid w:val="00A53107"/>
    <w:rsid w:val="00A5323C"/>
    <w:rsid w:val="00A62DAA"/>
    <w:rsid w:val="00A71DCF"/>
    <w:rsid w:val="00A728F0"/>
    <w:rsid w:val="00A81213"/>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494F"/>
    <w:rsid w:val="00AF7EDB"/>
    <w:rsid w:val="00B0226D"/>
    <w:rsid w:val="00B0243D"/>
    <w:rsid w:val="00B12995"/>
    <w:rsid w:val="00B13907"/>
    <w:rsid w:val="00B14198"/>
    <w:rsid w:val="00B23C0D"/>
    <w:rsid w:val="00B300C6"/>
    <w:rsid w:val="00B33A71"/>
    <w:rsid w:val="00B443A3"/>
    <w:rsid w:val="00B50F55"/>
    <w:rsid w:val="00B53E39"/>
    <w:rsid w:val="00B54FFD"/>
    <w:rsid w:val="00B552E1"/>
    <w:rsid w:val="00B62692"/>
    <w:rsid w:val="00B654D2"/>
    <w:rsid w:val="00B65B4A"/>
    <w:rsid w:val="00B713B2"/>
    <w:rsid w:val="00B74855"/>
    <w:rsid w:val="00B847B5"/>
    <w:rsid w:val="00B862CB"/>
    <w:rsid w:val="00B9462C"/>
    <w:rsid w:val="00B96C70"/>
    <w:rsid w:val="00BA072F"/>
    <w:rsid w:val="00BA19DD"/>
    <w:rsid w:val="00BA5284"/>
    <w:rsid w:val="00BA6174"/>
    <w:rsid w:val="00BA7AA9"/>
    <w:rsid w:val="00BB2B19"/>
    <w:rsid w:val="00BB2CA7"/>
    <w:rsid w:val="00BB4AF4"/>
    <w:rsid w:val="00BB55E8"/>
    <w:rsid w:val="00BB60E1"/>
    <w:rsid w:val="00BB7F66"/>
    <w:rsid w:val="00BC0C62"/>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CC0"/>
    <w:rsid w:val="00C567CC"/>
    <w:rsid w:val="00C617EC"/>
    <w:rsid w:val="00C64151"/>
    <w:rsid w:val="00C71259"/>
    <w:rsid w:val="00C7263B"/>
    <w:rsid w:val="00C76B51"/>
    <w:rsid w:val="00C826CB"/>
    <w:rsid w:val="00C90896"/>
    <w:rsid w:val="00CA10B7"/>
    <w:rsid w:val="00CA2AB0"/>
    <w:rsid w:val="00CB1DF3"/>
    <w:rsid w:val="00CB2165"/>
    <w:rsid w:val="00CB62EA"/>
    <w:rsid w:val="00CB7AF7"/>
    <w:rsid w:val="00CC2119"/>
    <w:rsid w:val="00CC222B"/>
    <w:rsid w:val="00CC2C37"/>
    <w:rsid w:val="00CC4DBC"/>
    <w:rsid w:val="00CD201A"/>
    <w:rsid w:val="00CD4DE7"/>
    <w:rsid w:val="00CD5E87"/>
    <w:rsid w:val="00CD6A2A"/>
    <w:rsid w:val="00CE3F0E"/>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2A7"/>
    <w:rsid w:val="00D318C2"/>
    <w:rsid w:val="00D34AF0"/>
    <w:rsid w:val="00D361BD"/>
    <w:rsid w:val="00D3798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C1827"/>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3233"/>
    <w:rsid w:val="00E342B7"/>
    <w:rsid w:val="00E46FED"/>
    <w:rsid w:val="00E524A1"/>
    <w:rsid w:val="00E55786"/>
    <w:rsid w:val="00E63179"/>
    <w:rsid w:val="00E70F60"/>
    <w:rsid w:val="00E719BD"/>
    <w:rsid w:val="00E73684"/>
    <w:rsid w:val="00E77AE0"/>
    <w:rsid w:val="00E82174"/>
    <w:rsid w:val="00E827B1"/>
    <w:rsid w:val="00E9087E"/>
    <w:rsid w:val="00E93F15"/>
    <w:rsid w:val="00EA034F"/>
    <w:rsid w:val="00EA3977"/>
    <w:rsid w:val="00EA3AD5"/>
    <w:rsid w:val="00EB4504"/>
    <w:rsid w:val="00EB4E17"/>
    <w:rsid w:val="00EB7A7D"/>
    <w:rsid w:val="00EC0991"/>
    <w:rsid w:val="00ED0C7E"/>
    <w:rsid w:val="00ED0F69"/>
    <w:rsid w:val="00ED7AD7"/>
    <w:rsid w:val="00EE0BB4"/>
    <w:rsid w:val="00EE1E48"/>
    <w:rsid w:val="00EE5838"/>
    <w:rsid w:val="00EE798A"/>
    <w:rsid w:val="00EF061B"/>
    <w:rsid w:val="00EF6FB8"/>
    <w:rsid w:val="00F01EF8"/>
    <w:rsid w:val="00F07552"/>
    <w:rsid w:val="00F10509"/>
    <w:rsid w:val="00F17CCD"/>
    <w:rsid w:val="00F26122"/>
    <w:rsid w:val="00F26B1B"/>
    <w:rsid w:val="00F3312E"/>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table" w:customStyle="1" w:styleId="TableNormal">
    <w:name w:val="Table Normal"/>
    <w:uiPriority w:val="2"/>
    <w:semiHidden/>
    <w:unhideWhenUsed/>
    <w:qFormat/>
    <w:rsid w:val="005454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1204</Words>
  <Characters>6864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3</cp:revision>
  <cp:lastPrinted>2021-10-04T09:09:00Z</cp:lastPrinted>
  <dcterms:created xsi:type="dcterms:W3CDTF">2022-01-05T07:48:00Z</dcterms:created>
  <dcterms:modified xsi:type="dcterms:W3CDTF">2022-01-05T08:07:00Z</dcterms:modified>
</cp:coreProperties>
</file>