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318B84AB" w:rsidR="00D848E2" w:rsidRPr="00664B38" w:rsidRDefault="00F477EA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EC57C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2AFD4AF0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F477E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23361482" w:rsidR="00D848E2" w:rsidRPr="00CB2165" w:rsidRDefault="00F477EA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7EA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VERGİ DENETİM KURULU DANIŞMA KOMİSYONU KARARLARI.</w:t>
            </w:r>
          </w:p>
        </w:tc>
      </w:tr>
    </w:tbl>
    <w:p w14:paraId="2FF8765B" w14:textId="5049AA90" w:rsidR="003E135E" w:rsidRDefault="003E135E" w:rsidP="003E135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9D0F451" w14:textId="2F06DEC9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VERGİ DENETİM KURULU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>DANIŞMA KOMİSYONU KARARLARI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13F5919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Vergi Denetim Kurulu Danışma Komisyonu tarafından, Kurul Başkanlığınca talep edilen konulara ilişkin</w:t>
      </w:r>
    </w:p>
    <w:p w14:paraId="7649CEE6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gündem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maddelerini görüşmek ve karara bağlamak üzere 20/12/2021 tarihinde yapılan toplantı</w:t>
      </w:r>
    </w:p>
    <w:p w14:paraId="08933DF4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neticesinde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alınan ve Vergi Denetim Kurulu Başkanlık Makamının 08/04/2022 tarih ve E-55935724-</w:t>
      </w:r>
    </w:p>
    <w:p w14:paraId="13BC63FA" w14:textId="344ED101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050.06.04 – 394 sayılı onayı ile yürürlüğe giren kararları </w:t>
      </w:r>
      <w:r>
        <w:rPr>
          <w:rFonts w:asciiTheme="majorHAnsi" w:hAnsiTheme="majorHAnsi" w:cstheme="majorHAnsi"/>
          <w:b/>
          <w:bCs/>
          <w:sz w:val="22"/>
          <w:szCs w:val="22"/>
        </w:rPr>
        <w:t>özetle aşağıdadır.</w:t>
      </w:r>
    </w:p>
    <w:p w14:paraId="3D543959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Kurul Başkanı tarafından onaylanan kararlar, onaylandığı veya onayda belirtilen tarihte yürürlüğe</w:t>
      </w:r>
    </w:p>
    <w:p w14:paraId="6328E8C4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girmektedir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>. Başkanlık bünyesinde kurulan komisyonlar ve Vergi Müfettişleri, onaylanan kararlar</w:t>
      </w:r>
    </w:p>
    <w:p w14:paraId="33769473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doğrultusunda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işlem tesis etmek zorundadırlar.</w:t>
      </w:r>
    </w:p>
    <w:p w14:paraId="6729D32C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Kurul Başkanı tarafından gerekli görülen kararlar Bakan onayına sunulabilmektedir.</w:t>
      </w:r>
    </w:p>
    <w:p w14:paraId="4A971F31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Vergi mükellefleri ve sorumluları Komisyondan görüş talep edemezler. Daire Başkanlıkları ve Vergi</w:t>
      </w:r>
    </w:p>
    <w:p w14:paraId="22947D55" w14:textId="4EB4EBB4" w:rsid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Müfettişleri Komisyondan doğrudan görüş talep edemezler.</w:t>
      </w:r>
    </w:p>
    <w:p w14:paraId="0DC33827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598FA40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7.4.2021 tarih ve 31447 sayılı </w:t>
      </w: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Gazetede VERGİ DENETİM KURULU DANIŞMA KOMİSYONU</w:t>
      </w:r>
    </w:p>
    <w:p w14:paraId="48C530F5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YÖNETMELİĞİ yayımlanmış ve vergi inceleme görevlerinin yürütülmesinde uygulama birliğini</w:t>
      </w:r>
    </w:p>
    <w:p w14:paraId="4FF3FA53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sağlamak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ve mevzuat hükümlerinin uygulanmasına ilişkin ortaya çıkan tereddütlü hususları gidermek</w:t>
      </w:r>
    </w:p>
    <w:p w14:paraId="5DD71B64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amacıyla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Vergi Denetim Kurulu Başkanlığı’na görüş bildirmek üzere Danışma Komisyonu oluşturularak</w:t>
      </w:r>
    </w:p>
    <w:p w14:paraId="39B2BE2E" w14:textId="154DE8E4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bu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Komisyonun çalışma usul ve esasların belirlenmişti. </w:t>
      </w:r>
    </w:p>
    <w:p w14:paraId="1936B5F1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Theme="majorHAnsi" w:hAnsiTheme="majorHAnsi" w:cstheme="majorHAnsi"/>
          <w:b/>
          <w:bCs/>
          <w:sz w:val="22"/>
          <w:szCs w:val="22"/>
        </w:rPr>
        <w:t>Yönetmeliğin, “Kararların yürürlüğü ve bağlayıcılığı” başlıklı 18’inci maddesi uyarınca;</w:t>
      </w:r>
    </w:p>
    <w:p w14:paraId="62EEA01C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Kurul Ba</w:t>
      </w:r>
      <w:r w:rsidRPr="00F477E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>kan</w:t>
      </w:r>
      <w:r w:rsidRPr="00F477E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taraf</w:t>
      </w:r>
      <w:r w:rsidRPr="00F477E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>ndan onaylanan kararlar, onayland</w:t>
      </w:r>
      <w:r w:rsidRPr="00F477EA">
        <w:rPr>
          <w:rFonts w:ascii="Calibri Light" w:hAnsi="Calibri Light" w:cs="Calibri Light"/>
          <w:b/>
          <w:bCs/>
          <w:sz w:val="22"/>
          <w:szCs w:val="22"/>
        </w:rPr>
        <w:t>ığı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veya onayda belirtilen tarihte</w:t>
      </w:r>
    </w:p>
    <w:p w14:paraId="77814FE6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yürürlüğe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girmektedir.</w:t>
      </w:r>
    </w:p>
    <w:p w14:paraId="36E322D1" w14:textId="77777777" w:rsidR="00F477EA" w:rsidRPr="00F477EA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477E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Ba</w:t>
      </w:r>
      <w:r w:rsidRPr="00F477E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>kanl</w:t>
      </w:r>
      <w:r w:rsidRPr="00F477E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>k b</w:t>
      </w:r>
      <w:r w:rsidRPr="00F477EA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F477EA">
        <w:rPr>
          <w:rFonts w:asciiTheme="majorHAnsi" w:hAnsiTheme="majorHAnsi" w:cstheme="majorHAnsi"/>
          <w:b/>
          <w:bCs/>
          <w:sz w:val="22"/>
          <w:szCs w:val="22"/>
        </w:rPr>
        <w:t>nyesinde kurulan komisyonlar ve Vergi Müfettişleri, onaylanan kararlar</w:t>
      </w:r>
    </w:p>
    <w:p w14:paraId="2AE6893F" w14:textId="42BB73EF" w:rsidR="00580C61" w:rsidRDefault="00F477EA" w:rsidP="00F477E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477EA">
        <w:rPr>
          <w:rFonts w:asciiTheme="majorHAnsi" w:hAnsiTheme="majorHAnsi" w:cstheme="majorHAnsi"/>
          <w:b/>
          <w:bCs/>
          <w:sz w:val="22"/>
          <w:szCs w:val="22"/>
        </w:rPr>
        <w:t>doğrultusunda</w:t>
      </w:r>
      <w:proofErr w:type="gramEnd"/>
      <w:r w:rsidRPr="00F477EA">
        <w:rPr>
          <w:rFonts w:asciiTheme="majorHAnsi" w:hAnsiTheme="majorHAnsi" w:cstheme="majorHAnsi"/>
          <w:b/>
          <w:bCs/>
          <w:sz w:val="22"/>
          <w:szCs w:val="22"/>
        </w:rPr>
        <w:t xml:space="preserve"> işlem tesis etmek zorundadırlar.</w:t>
      </w:r>
    </w:p>
    <w:p w14:paraId="5927F277" w14:textId="523098E0" w:rsidR="00580C61" w:rsidRDefault="00580C61" w:rsidP="00580C6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0289489" w14:textId="2F4AC231" w:rsidR="00F477EA" w:rsidRPr="00F477EA" w:rsidRDefault="00F477EA" w:rsidP="00F477EA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F477EA">
        <w:rPr>
          <w:b/>
          <w:bCs/>
        </w:rPr>
        <w:t>Başkanlık Makamının 08/04/2022 tarih ve E-55935724-050.06.04 – 394 sayılı onayı ile yürürlüğe giren</w:t>
      </w:r>
      <w:r w:rsidR="00131095">
        <w:rPr>
          <w:b/>
          <w:bCs/>
        </w:rPr>
        <w:t xml:space="preserve"> </w:t>
      </w:r>
      <w:r w:rsidRPr="00F477EA">
        <w:rPr>
          <w:b/>
          <w:bCs/>
        </w:rPr>
        <w:t>kararların özetleri aşağıdaki gibidir.</w:t>
      </w:r>
    </w:p>
    <w:p w14:paraId="59945CA0" w14:textId="35E8F8FE" w:rsidR="00F477EA" w:rsidRPr="00F477EA" w:rsidRDefault="00F477EA" w:rsidP="00F477EA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F477EA">
        <w:rPr>
          <w:b/>
          <w:bCs/>
        </w:rPr>
        <w:t>1) Transfer fiyatlandırması incelemelerinde mükellefin ortaklarına veya ilişkili kişilerine para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kullandırdığı durumlarda iç emsal yok ise Türkiye Cumhuriyet Merkez Bankası tarafından ilan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edilen bankalarca açılan ticari kredilere uygulanan ağırlıklı ortalama faiz oranının, kullandırılan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 xml:space="preserve">döviz cinsinin mezkûr ilanda yer almaması halinde ise bankalardan alınan faiz oranı </w:t>
      </w:r>
      <w:proofErr w:type="spellStart"/>
      <w:r w:rsidRPr="00F477EA">
        <w:rPr>
          <w:b/>
          <w:bCs/>
        </w:rPr>
        <w:t>bilgilerinin</w:t>
      </w:r>
      <w:r w:rsidR="00C55885">
        <w:rPr>
          <w:b/>
          <w:bCs/>
        </w:rPr>
        <w:t>n</w:t>
      </w:r>
      <w:proofErr w:type="spellEnd"/>
      <w:r w:rsidR="00C55885">
        <w:rPr>
          <w:b/>
          <w:bCs/>
        </w:rPr>
        <w:t xml:space="preserve"> </w:t>
      </w:r>
      <w:r w:rsidRPr="00F477EA">
        <w:rPr>
          <w:b/>
          <w:bCs/>
        </w:rPr>
        <w:t>dış emsal olarak dikkate alınması gerekmektedir.</w:t>
      </w:r>
    </w:p>
    <w:p w14:paraId="2291057E" w14:textId="2EE633B3" w:rsidR="00F477EA" w:rsidRPr="00F477EA" w:rsidRDefault="00F477EA" w:rsidP="00F477EA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F477EA">
        <w:rPr>
          <w:b/>
          <w:bCs/>
        </w:rPr>
        <w:lastRenderedPageBreak/>
        <w:t>2) İşleme ait bedelin emsale aykırı olduğu yönünde yapılan değerlendirme sonrası, 5520 sayılı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 xml:space="preserve">Kurumlar Vergisi Kanununun </w:t>
      </w:r>
      <w:proofErr w:type="gramStart"/>
      <w:r w:rsidRPr="00F477EA">
        <w:rPr>
          <w:b/>
          <w:bCs/>
        </w:rPr>
        <w:t>13 üncü</w:t>
      </w:r>
      <w:proofErr w:type="gramEnd"/>
      <w:r w:rsidRPr="00F477EA">
        <w:rPr>
          <w:b/>
          <w:bCs/>
        </w:rPr>
        <w:t xml:space="preserve"> maddesi veya 3065 sayılı Katma Değer Vergisi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 xml:space="preserve">Kanununun 27 </w:t>
      </w:r>
      <w:proofErr w:type="spellStart"/>
      <w:r w:rsidRPr="00F477EA">
        <w:rPr>
          <w:b/>
          <w:bCs/>
        </w:rPr>
        <w:t>nci</w:t>
      </w:r>
      <w:proofErr w:type="spellEnd"/>
      <w:r w:rsidRPr="00F477EA">
        <w:rPr>
          <w:b/>
          <w:bCs/>
        </w:rPr>
        <w:t xml:space="preserve"> maddesi kapsamında yapılan eleştirilerde, faturanın eksik düzenlendiğinden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ya da hiç düzenlenmediğinden hareketle 213 sayılı Vergi Usul Kanununun 353 üncü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maddesinin 1 inci fıkrası hükmü kapsamında özel usulsüzlük cezasının kesilmemesi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gerekmektedir.</w:t>
      </w:r>
    </w:p>
    <w:p w14:paraId="5C745A95" w14:textId="04562F1E" w:rsidR="00F477EA" w:rsidRPr="00F477EA" w:rsidRDefault="00F477EA" w:rsidP="00F477EA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F477EA">
        <w:rPr>
          <w:b/>
          <w:bCs/>
        </w:rPr>
        <w:t>3) Devreden katma değer vergisine yönelik düzeltme işlemlerinin; mükellefin devreden Katma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Değer Vergisinin azaltılması sonucu, incelenen dönemi takip eden dönemden rapor tarihinin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içinde bulunduğu vergilendirme dönemine kadar ödenecek veya haksız iade edilen KDV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çıkması halinde incelemeyi yürüten Vergi Müfettişi tarafından her hesap dönemi/takvim yılı için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ayrı rapor düzenlenmek suretiyle yapılması; belirtilen dönemlerde ödenecek veya haksız iade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edilen KDV çıkmaması halinde müteakip dönem düzeltme işlemlerinin Vergi Dairesi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Müdürlüğünce yerine getirilmesi gerekmektedir.</w:t>
      </w:r>
    </w:p>
    <w:p w14:paraId="30AB5F27" w14:textId="6995AFCC" w:rsidR="00F477EA" w:rsidRPr="00F477EA" w:rsidRDefault="00F477EA" w:rsidP="00F477EA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F477EA">
        <w:rPr>
          <w:b/>
          <w:bCs/>
        </w:rPr>
        <w:t>4) Belge konusu mal ve/veya hizmetin gerçekten alınmadığı ve sahte belgenin bilerek kullanıldığı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yönünde yapılan değerlendirme sonrası, hem kurumlar/gelir vergisi (gider veya maliyetlerin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kabul edilmemesi) hem de katma değer vergisi (indirimlerin reddi) yönünden eleştiri yapılması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 xml:space="preserve">durumunda, faturanın hiç düzenlenmediğinden hareketle 213 sayılı Vergi Usul Kanununun </w:t>
      </w:r>
      <w:proofErr w:type="gramStart"/>
      <w:r w:rsidRPr="00F477EA">
        <w:rPr>
          <w:b/>
          <w:bCs/>
        </w:rPr>
        <w:t>353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üncü</w:t>
      </w:r>
      <w:proofErr w:type="gramEnd"/>
      <w:r w:rsidRPr="00F477EA">
        <w:rPr>
          <w:b/>
          <w:bCs/>
        </w:rPr>
        <w:t xml:space="preserve"> maddesinin 1 inci fıkrası hükmü kapsamında özel usulsüzlük cezasının kesilmemesi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gerekmektedir.</w:t>
      </w:r>
    </w:p>
    <w:p w14:paraId="3FF0A062" w14:textId="42FB36C6" w:rsidR="00C55885" w:rsidRPr="00C55885" w:rsidRDefault="00F477EA" w:rsidP="00C5588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F477EA">
        <w:rPr>
          <w:b/>
          <w:bCs/>
        </w:rPr>
        <w:t>5) Belge konusu mal ve/veya hizmetin gerçekte alındığı ve sahte belgenin bilerek kullanıldığı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yönünde yapılan değerlendirme sonrası, kurumlar /gelir vergisi yönünden bir eleştiri</w:t>
      </w:r>
      <w:r w:rsidR="00C55885">
        <w:rPr>
          <w:b/>
          <w:bCs/>
        </w:rPr>
        <w:t xml:space="preserve"> </w:t>
      </w:r>
      <w:r w:rsidRPr="00F477EA">
        <w:rPr>
          <w:b/>
          <w:bCs/>
        </w:rPr>
        <w:t>yapılmayarak (gider veya maliyetlerin kabul edilmesi) sadece katma değer vergisi yönünden bir</w:t>
      </w:r>
      <w:r w:rsidR="00C55885">
        <w:rPr>
          <w:b/>
          <w:bCs/>
        </w:rPr>
        <w:t xml:space="preserve"> </w:t>
      </w:r>
      <w:r w:rsidR="00C55885" w:rsidRPr="00C55885">
        <w:rPr>
          <w:b/>
          <w:bCs/>
        </w:rPr>
        <w:t xml:space="preserve">eleştiri yapılması (indirimlerin reddi) durumunda 213 sayılı Vergi Usul Kanununun </w:t>
      </w:r>
      <w:proofErr w:type="gramStart"/>
      <w:r w:rsidR="00C55885" w:rsidRPr="00C55885">
        <w:rPr>
          <w:b/>
          <w:bCs/>
        </w:rPr>
        <w:t>353 üncü</w:t>
      </w:r>
      <w:proofErr w:type="gramEnd"/>
      <w:r w:rsidR="00C55885">
        <w:rPr>
          <w:b/>
          <w:bCs/>
        </w:rPr>
        <w:t xml:space="preserve"> </w:t>
      </w:r>
      <w:r w:rsidR="00C55885" w:rsidRPr="00C55885">
        <w:rPr>
          <w:b/>
          <w:bCs/>
        </w:rPr>
        <w:t>maddesinin 1 inci fıkrası hükmü kapsamında özel usulsüzlük cezasının kesilmesi</w:t>
      </w:r>
      <w:r w:rsidR="00C55885">
        <w:rPr>
          <w:b/>
          <w:bCs/>
        </w:rPr>
        <w:t xml:space="preserve"> </w:t>
      </w:r>
      <w:r w:rsidR="00C55885" w:rsidRPr="00C55885">
        <w:rPr>
          <w:b/>
          <w:bCs/>
        </w:rPr>
        <w:t>gerekmektedir.</w:t>
      </w:r>
    </w:p>
    <w:p w14:paraId="6204F106" w14:textId="6A08533D" w:rsidR="00C55885" w:rsidRPr="00C55885" w:rsidRDefault="00C55885" w:rsidP="00C5588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C55885">
        <w:rPr>
          <w:b/>
          <w:bCs/>
        </w:rPr>
        <w:t>6) Sahte belge kullanma incelemelerinde sahte belgenin bilmeden kullanıldığı yönünde yapılan</w:t>
      </w:r>
      <w:r>
        <w:rPr>
          <w:b/>
          <w:bCs/>
        </w:rPr>
        <w:t xml:space="preserve"> </w:t>
      </w:r>
      <w:r w:rsidRPr="00C55885">
        <w:rPr>
          <w:b/>
          <w:bCs/>
        </w:rPr>
        <w:t xml:space="preserve">değerlendirme sonrası, 213 sayılı Vergi Usul Kanununun </w:t>
      </w:r>
      <w:proofErr w:type="gramStart"/>
      <w:r w:rsidRPr="00C55885">
        <w:rPr>
          <w:b/>
          <w:bCs/>
        </w:rPr>
        <w:t>353 üncü</w:t>
      </w:r>
      <w:proofErr w:type="gramEnd"/>
      <w:r w:rsidRPr="00C55885">
        <w:rPr>
          <w:b/>
          <w:bCs/>
        </w:rPr>
        <w:t xml:space="preserve"> maddesinin 1 inci fıkrası</w:t>
      </w:r>
      <w:r>
        <w:rPr>
          <w:b/>
          <w:bCs/>
        </w:rPr>
        <w:t xml:space="preserve"> </w:t>
      </w:r>
      <w:r w:rsidRPr="00C55885">
        <w:rPr>
          <w:b/>
          <w:bCs/>
        </w:rPr>
        <w:t>hükmü kapsamında özel usulsüzlük cezasının kesilmemesi gerekmektedir.</w:t>
      </w:r>
    </w:p>
    <w:p w14:paraId="37B6F7A3" w14:textId="5A78CC70" w:rsidR="00C55885" w:rsidRPr="00C55885" w:rsidRDefault="00C55885" w:rsidP="00C5588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C55885">
        <w:rPr>
          <w:b/>
          <w:bCs/>
        </w:rPr>
        <w:t>7) Daha önce yapılan incelemelerde sahte belge kullanımı sebebiyle hakkında vergi suçu raporu</w:t>
      </w:r>
      <w:r>
        <w:rPr>
          <w:b/>
          <w:bCs/>
        </w:rPr>
        <w:t xml:space="preserve"> </w:t>
      </w:r>
      <w:r w:rsidRPr="00C55885">
        <w:rPr>
          <w:b/>
          <w:bCs/>
        </w:rPr>
        <w:t>düzenlenmiş olan mükellef ile ilgili olarak daha sonra aynı yılda başka mükelleften yine sahte</w:t>
      </w:r>
      <w:r>
        <w:rPr>
          <w:b/>
          <w:bCs/>
        </w:rPr>
        <w:t xml:space="preserve"> </w:t>
      </w:r>
      <w:r w:rsidRPr="00C55885">
        <w:rPr>
          <w:b/>
          <w:bCs/>
        </w:rPr>
        <w:t>belge kullandığının ve bu belgeleri bilerek (kasten) kullandığının tespit edilmesi halinde 213</w:t>
      </w:r>
      <w:r>
        <w:rPr>
          <w:b/>
          <w:bCs/>
        </w:rPr>
        <w:t xml:space="preserve"> </w:t>
      </w:r>
      <w:r w:rsidRPr="00C55885">
        <w:rPr>
          <w:b/>
          <w:bCs/>
        </w:rPr>
        <w:t xml:space="preserve">sayılı Vergi Usul Kanununun </w:t>
      </w:r>
      <w:proofErr w:type="gramStart"/>
      <w:r w:rsidRPr="00C55885">
        <w:rPr>
          <w:b/>
          <w:bCs/>
        </w:rPr>
        <w:t xml:space="preserve">367 </w:t>
      </w:r>
      <w:proofErr w:type="spellStart"/>
      <w:r w:rsidRPr="00C55885">
        <w:rPr>
          <w:b/>
          <w:bCs/>
        </w:rPr>
        <w:t>nci</w:t>
      </w:r>
      <w:proofErr w:type="spellEnd"/>
      <w:proofErr w:type="gramEnd"/>
      <w:r w:rsidRPr="00C55885">
        <w:rPr>
          <w:b/>
          <w:bCs/>
        </w:rPr>
        <w:t xml:space="preserve"> maddesi gereğince yeni bir vergi suçu raporu</w:t>
      </w:r>
      <w:r>
        <w:rPr>
          <w:b/>
          <w:bCs/>
        </w:rPr>
        <w:t xml:space="preserve"> </w:t>
      </w:r>
      <w:r w:rsidRPr="00C55885">
        <w:rPr>
          <w:b/>
          <w:bCs/>
        </w:rPr>
        <w:t>düzenlenmesi gerekmektedir.</w:t>
      </w:r>
    </w:p>
    <w:p w14:paraId="573A33BE" w14:textId="071A1A68" w:rsidR="00F477EA" w:rsidRDefault="00C55885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C55885">
        <w:rPr>
          <w:b/>
          <w:bCs/>
        </w:rPr>
        <w:t>8) Daha önce yapılan incelemelerde defter ve belge ibraz edilmemesi sebebiyle vergi suçu raporu</w:t>
      </w:r>
      <w:r>
        <w:rPr>
          <w:b/>
          <w:bCs/>
        </w:rPr>
        <w:t xml:space="preserve"> </w:t>
      </w:r>
      <w:r w:rsidRPr="00C55885">
        <w:rPr>
          <w:b/>
          <w:bCs/>
        </w:rPr>
        <w:t>düzenlenmiş olan mükellef ile ilgili aynı yıla ilişkin farklı bir inceleme nedeniyle yine defter ve</w:t>
      </w:r>
      <w:r>
        <w:rPr>
          <w:b/>
          <w:bCs/>
        </w:rPr>
        <w:t xml:space="preserve"> </w:t>
      </w:r>
      <w:r w:rsidRPr="00C55885">
        <w:rPr>
          <w:b/>
          <w:bCs/>
        </w:rPr>
        <w:t xml:space="preserve">belge ibraz edilmezse 213 sayılı Vergi Usul Kanununun </w:t>
      </w:r>
      <w:proofErr w:type="gramStart"/>
      <w:r w:rsidRPr="00C55885">
        <w:rPr>
          <w:b/>
          <w:bCs/>
        </w:rPr>
        <w:t xml:space="preserve">367 </w:t>
      </w:r>
      <w:proofErr w:type="spellStart"/>
      <w:r w:rsidRPr="00C55885">
        <w:rPr>
          <w:b/>
          <w:bCs/>
        </w:rPr>
        <w:t>nci</w:t>
      </w:r>
      <w:proofErr w:type="spellEnd"/>
      <w:proofErr w:type="gramEnd"/>
      <w:r w:rsidRPr="00C55885">
        <w:rPr>
          <w:b/>
          <w:bCs/>
        </w:rPr>
        <w:t xml:space="preserve"> maddesi gereğince yeni bir</w:t>
      </w:r>
      <w:r>
        <w:rPr>
          <w:b/>
          <w:bCs/>
        </w:rPr>
        <w:t xml:space="preserve"> </w:t>
      </w:r>
      <w:r w:rsidRPr="00C55885">
        <w:rPr>
          <w:b/>
          <w:bCs/>
        </w:rPr>
        <w:t>vergi suçu raporu düzenlenmesi gerekmektedir.</w:t>
      </w:r>
      <w:r w:rsidRPr="00C55885">
        <w:rPr>
          <w:b/>
          <w:bCs/>
        </w:rPr>
        <w:cr/>
      </w:r>
    </w:p>
    <w:p w14:paraId="55232E51" w14:textId="363981ED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F0C7" w14:textId="77777777" w:rsidR="00CD0B36" w:rsidRDefault="00CD0B36" w:rsidP="006A7CD4">
      <w:r>
        <w:separator/>
      </w:r>
    </w:p>
  </w:endnote>
  <w:endnote w:type="continuationSeparator" w:id="0">
    <w:p w14:paraId="2AE71005" w14:textId="77777777" w:rsidR="00CD0B36" w:rsidRDefault="00CD0B3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3F4A" w14:textId="77777777" w:rsidR="00CD0B36" w:rsidRDefault="00CD0B36" w:rsidP="006A7CD4">
      <w:r>
        <w:separator/>
      </w:r>
    </w:p>
  </w:footnote>
  <w:footnote w:type="continuationSeparator" w:id="0">
    <w:p w14:paraId="5428C0F0" w14:textId="77777777" w:rsidR="00CD0B36" w:rsidRDefault="00CD0B3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1095"/>
    <w:rsid w:val="00133239"/>
    <w:rsid w:val="00133BB1"/>
    <w:rsid w:val="00133E41"/>
    <w:rsid w:val="0013549A"/>
    <w:rsid w:val="0014027C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0B36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2022-10-18T12:47:00Z</dcterms:created>
  <dcterms:modified xsi:type="dcterms:W3CDTF">2022-10-18T12:47:00Z</dcterms:modified>
</cp:coreProperties>
</file>