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64E9EC8" w:rsidR="002F28CC" w:rsidRPr="00664B38" w:rsidRDefault="00A470A9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78F2157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920D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B5F3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E1D2560" w:rsidR="002F28CC" w:rsidRPr="00CB2165" w:rsidRDefault="00C040AD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40A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E-BELGE UYGULAMALARINA DAHİL EDİLEN YENİ MÜKELLEF GRUPLARI.</w:t>
            </w:r>
          </w:p>
        </w:tc>
      </w:tr>
      <w:bookmarkEnd w:id="0"/>
    </w:tbl>
    <w:p w14:paraId="54562445" w14:textId="2B8032B3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D30B5A3" w14:textId="4B01EB3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E-BELGE</w:t>
      </w:r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040AD">
        <w:rPr>
          <w:rFonts w:asciiTheme="majorHAnsi" w:hAnsiTheme="majorHAnsi" w:cstheme="majorHAnsi"/>
          <w:b/>
          <w:bCs/>
          <w:sz w:val="22"/>
          <w:szCs w:val="22"/>
        </w:rPr>
        <w:t>UYGULAMALARINA DAHİL EDİLEN</w:t>
      </w:r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040AD">
        <w:rPr>
          <w:rFonts w:asciiTheme="majorHAnsi" w:hAnsiTheme="majorHAnsi" w:cstheme="majorHAnsi"/>
          <w:b/>
          <w:bCs/>
          <w:sz w:val="22"/>
          <w:szCs w:val="22"/>
        </w:rPr>
        <w:t>YENİ MÜKELLEF GRUPLARI</w:t>
      </w:r>
      <w:r w:rsidRPr="00C040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0B504D6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B87385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509 Sıra No.lu Vergi Usul Kanunu Tebliğinde yapılan değişiklikler uyarınca;</w:t>
      </w:r>
    </w:p>
    <w:p w14:paraId="5D886C9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1- e-Fatura uygulamasına zorunlu olarak geçişte, yıllık ciro limitleri kademeli olarak</w:t>
      </w:r>
    </w:p>
    <w:p w14:paraId="55B9DB2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düşürülmüştür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619574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a) Brüt satış hasılatı 2021 hesap dönemi için 4 Milyon, 2022 ve müteakip hesap dönemleri</w:t>
      </w:r>
    </w:p>
    <w:p w14:paraId="253574FE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için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3 Milyon TL ve üzeri olan mükelleflere,</w:t>
      </w:r>
    </w:p>
    <w:p w14:paraId="0ED5EAF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b) Gerek kendi siteleri gerekse de internet satış platformları üzerinden veya her türlü</w:t>
      </w:r>
    </w:p>
    <w:p w14:paraId="3FA41CD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elektronik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ortamda mal veya hizmet satışı gerçekleştiren mükelleflerden, 2020 ve 2021</w:t>
      </w:r>
    </w:p>
    <w:p w14:paraId="15F40BE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hesap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dönemleri için 1 Milyon TL, 2022 veya müteakip hesap dönemleri için 500 Bin</w:t>
      </w:r>
    </w:p>
    <w:p w14:paraId="4E7A3B1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TL ve üzeri brüt satış hasılatı (veya satışları ile gayrisafi iş hasılatı) olanlara,</w:t>
      </w:r>
    </w:p>
    <w:p w14:paraId="4238EF5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c) Gayrimenkul ve/veya motorlu taşıt, inşa, imal, alım, satım veya kiralama işlemlerini</w:t>
      </w:r>
    </w:p>
    <w:p w14:paraId="1D41BEB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yapanlar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ile bu işlemlere aracılık faaliyetinde bulunan mükelleflerden; 2020 ve 2021</w:t>
      </w:r>
    </w:p>
    <w:p w14:paraId="7E3EF0A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hesap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dönemleri için 1 Milyon TL, 2022 veya müteakip hesap dönemleri için 500 Bin</w:t>
      </w:r>
    </w:p>
    <w:p w14:paraId="4FA27BD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TL ve üzeri brüt satış hasılatı (veya satışları ile gayrisafi iş hasılatı) olanlara,</w:t>
      </w:r>
    </w:p>
    <w:p w14:paraId="27761D8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d) Kültür ve Turizm Bakanlığı ile Belediyelerden yatırım ve/veya işletme belgesi almak</w:t>
      </w:r>
    </w:p>
    <w:p w14:paraId="7958B5B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suretiyle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konaklama hizmeti veren otel işletmelerine,</w:t>
      </w:r>
    </w:p>
    <w:p w14:paraId="5B40F5B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-Fatura ve e-Arşiv Fatura uygulamalarına geçme zorunluluğu getirildi.</w:t>
      </w:r>
    </w:p>
    <w:p w14:paraId="66204B0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2- e-Arşiv Fatura uygulamasına dahil olmayan mükelleflerce 1 Mart 2022 tarihinden</w:t>
      </w:r>
    </w:p>
    <w:p w14:paraId="7FEAE63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itibaren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vergi mükellefi olmayan nihai tüketicilere yapılan satışlarda vergiler dahil</w:t>
      </w:r>
    </w:p>
    <w:p w14:paraId="718EBF4B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toplam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tutarının 5 Bin TL’yi, vergi mükelleflerine düzenlenenler açısından ise 2022 yılı</w:t>
      </w:r>
    </w:p>
    <w:p w14:paraId="0C4D8F1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için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2.000 TL’yi aşması halinde, faturaların kağıt fatura yerine, Gelir İdaresi</w:t>
      </w:r>
    </w:p>
    <w:p w14:paraId="16764B8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Başkanlığının e-Belge Portali üzerinden veya Gelir İdaresi Başkanlığı bilgi sistemleri ile</w:t>
      </w:r>
    </w:p>
    <w:p w14:paraId="533C576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entegrasyonu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sağlayabilmiş olan özel </w:t>
      </w:r>
      <w:proofErr w:type="spell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entegratör</w:t>
      </w:r>
      <w:proofErr w:type="spell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kuruluşların bilgi sistemleri aracılığıyla</w:t>
      </w:r>
    </w:p>
    <w:p w14:paraId="4CF1F0B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elektronik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ortamda e-Arşiv Fatura olarak düzenleme zorunluluğu getirildi.</w:t>
      </w:r>
    </w:p>
    <w:p w14:paraId="2F1C42A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Daha önce 509 Sıra No.lu Vergi Usul Kanunu Genel Tebliği ile fatura düzenlemek</w:t>
      </w:r>
    </w:p>
    <w:p w14:paraId="6A34BDC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zorunda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olan mükelleflerden, e-Arşiv Fatura uygulamasına dahil olmayanlarca, 1 Ocak</w:t>
      </w:r>
    </w:p>
    <w:p w14:paraId="04616A5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2020 tarihinden itibaren düzenlenecek faturaların, vergiler dahil toplam tutarının 30 Bin</w:t>
      </w:r>
    </w:p>
    <w:p w14:paraId="2839466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TL’yi (vergi mükelleflerine düzenlenenler açısından vergiler dahil toplam tutarı 5.000</w:t>
      </w:r>
    </w:p>
    <w:p w14:paraId="384F8DA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TL’yi) aşması halinde söz konusu faturaların “e-Arşiv Fatura” olarak Başkanlıkça</w:t>
      </w:r>
    </w:p>
    <w:p w14:paraId="5EF91EA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sunulan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e-Belge düzenleme portali üzerinden düzenlenmesi zorunluluğu getirilmişti.</w:t>
      </w:r>
    </w:p>
    <w:p w14:paraId="161992E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3- e-Arşiv Fatura uygulamasına dahil olup internet üzerinden mal ve hizmet satışı</w:t>
      </w:r>
    </w:p>
    <w:p w14:paraId="6E24B40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lastRenderedPageBreak/>
        <w:t>yapanlar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sevk edilen malın yanında elektronik ortamda sorgulanmasına,</w:t>
      </w:r>
    </w:p>
    <w:p w14:paraId="111A644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görüntülenmesine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, doğrulanmasına imkan veren bilgileri barındıran özel kodlu belgenin</w:t>
      </w:r>
    </w:p>
    <w:p w14:paraId="3C85D06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kağıt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çıktısını bulundurabileceklerdir.</w:t>
      </w:r>
    </w:p>
    <w:p w14:paraId="749A079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>4- e-İrsaliye uygulamasına zorunlu olarak dahil olması gereken mükelleflerin kapsamı</w:t>
      </w:r>
    </w:p>
    <w:p w14:paraId="542220D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genişletilmiştir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C51E09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5- “Döviz ve Kıymetli Maden Alım Belgesi” ile “Döviz ve Kıymetli Maden Satım </w:t>
      </w:r>
      <w:proofErr w:type="spell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Belgesi”nin</w:t>
      </w:r>
      <w:proofErr w:type="spellEnd"/>
    </w:p>
    <w:p w14:paraId="2C220BE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de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e-Döviz Alım/Satım Belgesi uygulaması kapsamında elektronik belge olarak (</w:t>
      </w:r>
      <w:proofErr w:type="spell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eDöviz</w:t>
      </w:r>
      <w:proofErr w:type="spellEnd"/>
      <w:r w:rsidRPr="00C040AD">
        <w:rPr>
          <w:rFonts w:asciiTheme="majorHAnsi" w:hAnsiTheme="majorHAnsi" w:cstheme="majorHAnsi"/>
          <w:b/>
          <w:bCs/>
          <w:sz w:val="22"/>
          <w:szCs w:val="22"/>
        </w:rPr>
        <w:t xml:space="preserve"> ve Kıymetli Maden Alım/Satım Belgesi şeklinde) düzenlenebilmesi imkanı</w:t>
      </w:r>
    </w:p>
    <w:p w14:paraId="31303B5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getirilmiştir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2626EC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-gider pusulası uygulamasında düzenleyenin ayrıca kağıt çıktı üzerinde ıslak imza atma şartı</w:t>
      </w:r>
    </w:p>
    <w:p w14:paraId="3541664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b/>
          <w:bCs/>
          <w:sz w:val="22"/>
          <w:szCs w:val="22"/>
        </w:rPr>
        <w:t>kaldırılmıştır</w:t>
      </w:r>
      <w:proofErr w:type="gramEnd"/>
      <w:r w:rsidRPr="00C040A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8FE317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22 Ocak 2022 tarihli ve 31727 sayılı </w:t>
      </w:r>
      <w:proofErr w:type="gramStart"/>
      <w:r w:rsidRPr="00C040AD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Gazetede yayımlanan 535 SIRA NO.LU VERGİ</w:t>
      </w:r>
    </w:p>
    <w:p w14:paraId="3ABBD95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USUL KANUNU GENEL TEBLİĞİ ile 509 SIRA NO.LU VERGİ USUL KANUNU GENEL</w:t>
      </w:r>
    </w:p>
    <w:p w14:paraId="538D291B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r w:rsidRPr="00C040AD">
        <w:rPr>
          <w:rFonts w:asciiTheme="majorHAnsi" w:hAnsiTheme="majorHAnsi" w:cstheme="majorHAnsi"/>
          <w:sz w:val="22"/>
          <w:szCs w:val="22"/>
        </w:rPr>
        <w:t>TEBLİĞİ’nde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bazı değişiklikler yapılmıştır.</w:t>
      </w:r>
    </w:p>
    <w:p w14:paraId="696ED67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Tebliğ değişikliği ile e-Fatura, e-Arşiv Fatura ve e-İrsaliye uygulamasına zorunlu olarak dahil</w:t>
      </w:r>
    </w:p>
    <w:p w14:paraId="5C273F8B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olması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gereken mükellef gruplarının kapsamı genişletilmiş ve e-Döviz Alım/Satım Belgesi ile</w:t>
      </w:r>
    </w:p>
    <w:p w14:paraId="68BD91E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-Gider Pusulası uygulamalarına ilişkin düzenlemelerde bulunulmuştur. Tebliğ düzenlemeleri</w:t>
      </w:r>
    </w:p>
    <w:p w14:paraId="4B9460E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Özetle aşağıdaki gibidir:</w:t>
      </w:r>
    </w:p>
    <w:p w14:paraId="67B0C3E6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1- e-Fatura uygulamasına zorunlu olarak geçişte, yıllık ciro limitleri kademeli olarak</w:t>
      </w:r>
    </w:p>
    <w:p w14:paraId="03584AD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düşürüldü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.</w:t>
      </w:r>
    </w:p>
    <w:p w14:paraId="6D3CC0D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Yeni Tebliğ ile yapılan düzenlemeler uyarınca;</w:t>
      </w:r>
    </w:p>
    <w:p w14:paraId="4EC01AE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e) Brüt satış hasılatı 2021 hesap dönemi için 4 Milyon, 2022 ve müteakip hesap dönemleri</w:t>
      </w:r>
    </w:p>
    <w:p w14:paraId="3AD40AE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için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3 Milyon TL ve üzeri olan mükelleflere,</w:t>
      </w:r>
    </w:p>
    <w:p w14:paraId="73B3C9C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f) Gerek kendi siteleri gerekse de internet satış platformları üzerinden veya her türlü</w:t>
      </w:r>
    </w:p>
    <w:p w14:paraId="5350295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elektronik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ortamda mal veya hizmet satışı gerçekleştiren mükelleflerden, 2020 ve 2021</w:t>
      </w:r>
    </w:p>
    <w:p w14:paraId="454FA17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hesap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dönemleri için 1 Milyon TL, 2022 veya müteakip hesap dönemleri için 500 Bin</w:t>
      </w:r>
    </w:p>
    <w:p w14:paraId="1AF1189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TL ve üzeri brüt satış hasılatı (veya satışları ile gayrisafi iş hasılatı) olanlara,</w:t>
      </w:r>
    </w:p>
    <w:p w14:paraId="2E47FBBE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g) Gayrimenkul ve/veya motorlu taşıt, inşa, imal, alım, satım veya kiralama işlemlerini</w:t>
      </w:r>
    </w:p>
    <w:p w14:paraId="1A91810A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yapanlar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ile bu işlemlere aracılık faaliyetinde bulunan mükelleflerden; 2020 ve 2021</w:t>
      </w:r>
    </w:p>
    <w:p w14:paraId="5B102E6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hesap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dönemleri için 1 Milyon TL, 2022 veya müteakip hesap dönemleri için 500 Bin</w:t>
      </w:r>
    </w:p>
    <w:p w14:paraId="16D01F9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TL ve üzeri brüt satış hasılatı (veya satışları ile gayrisafi iş hasılatı) olanlara,</w:t>
      </w:r>
    </w:p>
    <w:p w14:paraId="4958FAB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h) Kültür ve Turizm Bakanlığı ile Belediyelerden yatırım ve/veya işletme belgesi almak</w:t>
      </w:r>
    </w:p>
    <w:p w14:paraId="7595FE1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suretiyle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konaklama hizmeti veren otel işletmelerine,</w:t>
      </w:r>
    </w:p>
    <w:p w14:paraId="16409AA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-Fatura ve e-Arşiv Fatura uygulamalarına geçme zorunluluğu getirilmiştir.</w:t>
      </w:r>
    </w:p>
    <w:p w14:paraId="4779053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2- e-Arşiv Fatura uygulamasına dahil olmayan mükelleflerce düzenlenecek faturanın</w:t>
      </w:r>
    </w:p>
    <w:p w14:paraId="08C9794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Başkanlıkça sunulan e-Belge düzenleme portali üzerinden düzenlenme</w:t>
      </w:r>
    </w:p>
    <w:p w14:paraId="343D728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zorunluluğuna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ilişkin sınır düşürüldü.</w:t>
      </w:r>
    </w:p>
    <w:p w14:paraId="345F7C8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Söz konusu Tebliğ ile yapılan diğer önemli bir düzenleme esas itibariyle fatura düzenleyen</w:t>
      </w:r>
    </w:p>
    <w:p w14:paraId="4E3A59C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tüm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vergi mükelleflerini ilgilendirmektedir. Yapılan düzenleme uyarınca, e-Arşiv Fatura</w:t>
      </w:r>
    </w:p>
    <w:p w14:paraId="2F9333B6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uygulamasına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dahil olmayan mükelleflerce, aynı günde aynı kişiye düzenlenen ve vergiler</w:t>
      </w:r>
    </w:p>
    <w:p w14:paraId="3D338FBB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dahil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toplam tutarı belli tutarı aşması nedeniyle 1/1/2020 tarihinden bu yana elektronik ortamda</w:t>
      </w:r>
    </w:p>
    <w:p w14:paraId="7E1DBEC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-Arşiv Fatura olarak düzenlenme zorunluluğu bulunan faturalar için belirlenen tutarlar (vergi</w:t>
      </w:r>
    </w:p>
    <w:p w14:paraId="562C4A2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mükellefi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olmayanlara yapılan satışlarda 30 Bin TL, vergi mükelleflerine yapılan satışlarda 5</w:t>
      </w:r>
    </w:p>
    <w:p w14:paraId="7C24C79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Bin TL), 1/3/2022 tarihinden itibaren gerçekleştirilecek teslim ve hizmetlerde ilişkin</w:t>
      </w:r>
    </w:p>
    <w:p w14:paraId="2A0A433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düzenlenecek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faturalar bakımından güncellenmiştir. Buna göre 1/3/2022 tarihinden itibaren</w:t>
      </w:r>
    </w:p>
    <w:p w14:paraId="66C0D6D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vergi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mükellefi olmayan nihai tüketicilere yapılan satışlarda vergiler dahil toplam</w:t>
      </w:r>
    </w:p>
    <w:p w14:paraId="0EFFC63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tutarının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5 Bin TL’yi, vergi mükelleflerine düzenlenenler açısından ise 213 Sayılı </w:t>
      </w:r>
    </w:p>
    <w:p w14:paraId="05131A7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Kanunun 232 inci maddesinin ikinci fıkrasında belirtilen, işlemin gerçekleştiği yıla ait,</w:t>
      </w:r>
    </w:p>
    <w:p w14:paraId="48EC25D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fatura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düzenleme zorunluluğuna ilişkin tutarı (2022 yılı için 2.000 TL) aşması halinde,</w:t>
      </w:r>
    </w:p>
    <w:p w14:paraId="2673BF2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faturaların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kağıt fatura yerine, Gelir İdaresi Başkanlığının e-Belge Portali üzerinden</w:t>
      </w:r>
    </w:p>
    <w:p w14:paraId="4179418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veya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Gelir İdaresi Başkanlığı bilgi sistemleri ile entegrasyonu sağlayabilmiş olan özel</w:t>
      </w:r>
    </w:p>
    <w:p w14:paraId="63D3329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C040AD">
        <w:rPr>
          <w:rFonts w:asciiTheme="majorHAnsi" w:hAnsiTheme="majorHAnsi" w:cstheme="majorHAnsi"/>
          <w:sz w:val="22"/>
          <w:szCs w:val="22"/>
        </w:rPr>
        <w:t>entegratör</w:t>
      </w:r>
      <w:proofErr w:type="spellEnd"/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kuruluşların bilgi sistemleri aracılığıyla elektronik ortamda e-Arşiv Fatura</w:t>
      </w:r>
    </w:p>
    <w:p w14:paraId="3848388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düzenleme zorunluluğu başlamaktadır.</w:t>
      </w:r>
    </w:p>
    <w:p w14:paraId="45AC4D1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3- e-Arşiv Fatura uygulamasına dahil olup internet üzerinden mal ve hizmet satışı</w:t>
      </w:r>
    </w:p>
    <w:p w14:paraId="7E15FC8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yapanlar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sevk edilen malın yanında elektronik ortamda sorgulanmasına,</w:t>
      </w:r>
    </w:p>
    <w:p w14:paraId="2C851E4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görüntülenmesine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, doğrulanmasına imkan veren bilgileri barındıran özel kodlu</w:t>
      </w:r>
    </w:p>
    <w:p w14:paraId="09E7913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belgenin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kağıt çıktısını bulundurabileceklerdir.</w:t>
      </w:r>
    </w:p>
    <w:p w14:paraId="13B9C0E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-Arşiv Fatura uygulamasına dahil olanlarca, e-Ticaret kapsamında yaptıkları satışlar için</w:t>
      </w:r>
    </w:p>
    <w:p w14:paraId="5829DE9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düzenlenen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ve elektronik ortamda iletilmesi zorunluluğu olan e-Arşiv faturalara konu malların</w:t>
      </w:r>
    </w:p>
    <w:p w14:paraId="594D390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sevki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sırasında, malın yanında bulunması gereken belge ( sevk irsaliyesi, e-İrsaliye , irsaliye</w:t>
      </w:r>
    </w:p>
    <w:p w14:paraId="0292544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yerine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geçen e-Arşiv Faturanın kağıt çıktısı, ÖKC fatura bilgi fişi belgelerinden herhangi biri)</w:t>
      </w:r>
    </w:p>
    <w:p w14:paraId="42B9111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seçeneği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artırılmış, bu suretle yapılan satışlarda, malların sevki sırasında, belirtilen belgelerin</w:t>
      </w:r>
    </w:p>
    <w:p w14:paraId="50D1C0FA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dışında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malın yanında bulunmak üzere format ve standardı Başkanlıkça belirlenen ve bu</w:t>
      </w:r>
    </w:p>
    <w:p w14:paraId="19E51FF3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satışa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ilişkin olarak düzenlenen e-İrsaliyenin elektronik ortamda sorgulanmasına,</w:t>
      </w:r>
    </w:p>
    <w:p w14:paraId="06075AB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görüntülenmesine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, doğrulanmasına imkan veren bilgileri barındıran özel kodlu bir belgeyi de</w:t>
      </w:r>
    </w:p>
    <w:p w14:paraId="632EC84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düzenleyebilmesine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imkan sağlanmıştır. Bu suretle düzenlenen özel kodlu belgenin malın</w:t>
      </w:r>
    </w:p>
    <w:p w14:paraId="14C5804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sevki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sırasında malın yanında bulunması yeterli görülmektedir.</w:t>
      </w:r>
    </w:p>
    <w:p w14:paraId="77D686F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Benzer şekilde e-Arşiv Fatura uygulamasına dahil olanlarca, e-Ticaret kapsamında yaptıkları</w:t>
      </w:r>
    </w:p>
    <w:p w14:paraId="7C03CE5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satışlar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için e-Fatura uygulamasına kayıtlı kullanıcılara düzenlenen e-Faturalara konu</w:t>
      </w:r>
    </w:p>
    <w:p w14:paraId="3911186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malların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sevki sırasında, malın yanında bulunması gereken belge ( irsaliye yerine geçen </w:t>
      </w:r>
      <w:proofErr w:type="spellStart"/>
      <w:r w:rsidRPr="00C040AD">
        <w:rPr>
          <w:rFonts w:asciiTheme="majorHAnsi" w:hAnsiTheme="majorHAnsi" w:cstheme="majorHAnsi"/>
          <w:sz w:val="22"/>
          <w:szCs w:val="22"/>
        </w:rPr>
        <w:t>eFaturanın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kağıt çıktısı, ÖKC fatura bilgi fişi ya da sevk irsaliyesinden herhangi biri) seçeneği</w:t>
      </w:r>
    </w:p>
    <w:p w14:paraId="5FE23E66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artırılmış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, bu suretle yapılan satışlarda, malların sevki sırasında, malın yanında bulunmak</w:t>
      </w:r>
    </w:p>
    <w:p w14:paraId="0580A91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belirtilen belgelerin dışında format ve standardı Başkanlıkça belirlenen ve bu satışa</w:t>
      </w:r>
    </w:p>
    <w:p w14:paraId="33E4CA7A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ilişkin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olarak düzenlenen e-İrsaliyenin elektronik ortamda sorgulanmasına, görüntülenmesine,</w:t>
      </w:r>
    </w:p>
    <w:p w14:paraId="6B38775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doğrulanmasına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imkan veren bilgileri barındıran özel kodlu bir belgeyi de düzenleyebilmesine</w:t>
      </w:r>
    </w:p>
    <w:p w14:paraId="704760AE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imkan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sağlanmıştır. Bu suretle düzenlenen özel kodlu belgenin malın sevki sırasında malın</w:t>
      </w:r>
    </w:p>
    <w:p w14:paraId="7D54DAD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yanında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bulunması yeterli görülmektedir. </w:t>
      </w:r>
    </w:p>
    <w:p w14:paraId="591E20E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4- e-İrsaliye uygulamasına zorunlu olarak dahil olması gereken mükelleflerin kapsamı</w:t>
      </w:r>
    </w:p>
    <w:p w14:paraId="73E153E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genişletildi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.</w:t>
      </w:r>
    </w:p>
    <w:p w14:paraId="265D774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="Cambria Math" w:hAnsi="Cambria Math" w:cs="Cambria Math"/>
          <w:sz w:val="22"/>
          <w:szCs w:val="22"/>
        </w:rPr>
        <w:t>⎯</w:t>
      </w:r>
      <w:r w:rsidRPr="00C040AD">
        <w:rPr>
          <w:rFonts w:asciiTheme="majorHAnsi" w:hAnsiTheme="majorHAnsi" w:cstheme="majorHAnsi"/>
          <w:sz w:val="22"/>
          <w:szCs w:val="22"/>
        </w:rPr>
        <w:t xml:space="preserve"> Demir ve </w:t>
      </w:r>
      <w:r w:rsidRPr="00C040AD">
        <w:rPr>
          <w:rFonts w:ascii="Calibri Light" w:hAnsi="Calibri Light" w:cs="Calibri Light"/>
          <w:sz w:val="22"/>
          <w:szCs w:val="22"/>
        </w:rPr>
        <w:t>ç</w:t>
      </w:r>
      <w:r w:rsidRPr="00C040AD">
        <w:rPr>
          <w:rFonts w:asciiTheme="majorHAnsi" w:hAnsiTheme="majorHAnsi" w:cstheme="majorHAnsi"/>
          <w:sz w:val="22"/>
          <w:szCs w:val="22"/>
        </w:rPr>
        <w:t>elik (GT</w:t>
      </w:r>
      <w:r w:rsidRPr="00C040AD">
        <w:rPr>
          <w:rFonts w:ascii="Calibri Light" w:hAnsi="Calibri Light" w:cs="Calibri Light"/>
          <w:sz w:val="22"/>
          <w:szCs w:val="22"/>
        </w:rPr>
        <w:t>İ</w:t>
      </w:r>
      <w:r w:rsidRPr="00C040AD">
        <w:rPr>
          <w:rFonts w:asciiTheme="majorHAnsi" w:hAnsiTheme="majorHAnsi" w:cstheme="majorHAnsi"/>
          <w:sz w:val="22"/>
          <w:szCs w:val="22"/>
        </w:rPr>
        <w:t xml:space="preserve">P 72) ile demir veya </w:t>
      </w:r>
      <w:r w:rsidRPr="00C040AD">
        <w:rPr>
          <w:rFonts w:ascii="Calibri Light" w:hAnsi="Calibri Light" w:cs="Calibri Light"/>
          <w:sz w:val="22"/>
          <w:szCs w:val="22"/>
        </w:rPr>
        <w:t>ç</w:t>
      </w:r>
      <w:r w:rsidRPr="00C040AD">
        <w:rPr>
          <w:rFonts w:asciiTheme="majorHAnsi" w:hAnsiTheme="majorHAnsi" w:cstheme="majorHAnsi"/>
          <w:sz w:val="22"/>
          <w:szCs w:val="22"/>
        </w:rPr>
        <w:t>elikten e</w:t>
      </w:r>
      <w:r w:rsidRPr="00C040AD">
        <w:rPr>
          <w:rFonts w:ascii="Calibri Light" w:hAnsi="Calibri Light" w:cs="Calibri Light"/>
          <w:sz w:val="22"/>
          <w:szCs w:val="22"/>
        </w:rPr>
        <w:t>ş</w:t>
      </w:r>
      <w:r w:rsidRPr="00C040AD">
        <w:rPr>
          <w:rFonts w:asciiTheme="majorHAnsi" w:hAnsiTheme="majorHAnsi" w:cstheme="majorHAnsi"/>
          <w:sz w:val="22"/>
          <w:szCs w:val="22"/>
        </w:rPr>
        <w:t>yalar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>n (GT</w:t>
      </w:r>
      <w:r w:rsidRPr="00C040AD">
        <w:rPr>
          <w:rFonts w:ascii="Calibri Light" w:hAnsi="Calibri Light" w:cs="Calibri Light"/>
          <w:sz w:val="22"/>
          <w:szCs w:val="22"/>
        </w:rPr>
        <w:t>İ</w:t>
      </w:r>
      <w:r w:rsidRPr="00C040AD">
        <w:rPr>
          <w:rFonts w:asciiTheme="majorHAnsi" w:hAnsiTheme="majorHAnsi" w:cstheme="majorHAnsi"/>
          <w:sz w:val="22"/>
          <w:szCs w:val="22"/>
        </w:rPr>
        <w:t>P 73) imali, ithali veya</w:t>
      </w:r>
    </w:p>
    <w:p w14:paraId="6AB6947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ihracı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faaliyetinde bulunan mükelleflerin (basit usul hariç), e-Fatura uygulamasına dahil</w:t>
      </w:r>
    </w:p>
    <w:p w14:paraId="796AB51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olma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şartı aranmaksızın e-İrsaliye uygulamasına zorunlu olarak dahil olmalarına</w:t>
      </w:r>
    </w:p>
    <w:p w14:paraId="0DB1B947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yönelik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düzenleme yapılmıştır.</w:t>
      </w:r>
    </w:p>
    <w:p w14:paraId="761D99C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="Cambria Math" w:hAnsi="Cambria Math" w:cs="Cambria Math"/>
          <w:sz w:val="22"/>
          <w:szCs w:val="22"/>
        </w:rPr>
        <w:t>⎯</w:t>
      </w:r>
      <w:r w:rsidRPr="00C040AD">
        <w:rPr>
          <w:rFonts w:asciiTheme="majorHAnsi" w:hAnsiTheme="majorHAnsi" w:cstheme="majorHAnsi"/>
          <w:sz w:val="22"/>
          <w:szCs w:val="22"/>
        </w:rPr>
        <w:t xml:space="preserve"> e-Fatura uygulamas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>na kay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>tl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 xml:space="preserve"> kullan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>c</w:t>
      </w:r>
      <w:r w:rsidRPr="00C040AD">
        <w:rPr>
          <w:rFonts w:ascii="Calibri Light" w:hAnsi="Calibri Light" w:cs="Calibri Light"/>
          <w:sz w:val="22"/>
          <w:szCs w:val="22"/>
        </w:rPr>
        <w:t>ı</w:t>
      </w:r>
      <w:r w:rsidRPr="00C040AD">
        <w:rPr>
          <w:rFonts w:asciiTheme="majorHAnsi" w:hAnsiTheme="majorHAnsi" w:cstheme="majorHAnsi"/>
          <w:sz w:val="22"/>
          <w:szCs w:val="22"/>
        </w:rPr>
        <w:t>lar i</w:t>
      </w:r>
      <w:r w:rsidRPr="00C040AD">
        <w:rPr>
          <w:rFonts w:ascii="Calibri Light" w:hAnsi="Calibri Light" w:cs="Calibri Light"/>
          <w:sz w:val="22"/>
          <w:szCs w:val="22"/>
        </w:rPr>
        <w:t>ç</w:t>
      </w:r>
      <w:r w:rsidRPr="00C040AD">
        <w:rPr>
          <w:rFonts w:asciiTheme="majorHAnsi" w:hAnsiTheme="majorHAnsi" w:cstheme="majorHAnsi"/>
          <w:sz w:val="22"/>
          <w:szCs w:val="22"/>
        </w:rPr>
        <w:t>in e-</w:t>
      </w:r>
      <w:r w:rsidRPr="00C040AD">
        <w:rPr>
          <w:rFonts w:ascii="Calibri Light" w:hAnsi="Calibri Light" w:cs="Calibri Light"/>
          <w:sz w:val="22"/>
          <w:szCs w:val="22"/>
        </w:rPr>
        <w:t>İ</w:t>
      </w:r>
      <w:r w:rsidRPr="00C040AD">
        <w:rPr>
          <w:rFonts w:asciiTheme="majorHAnsi" w:hAnsiTheme="majorHAnsi" w:cstheme="majorHAnsi"/>
          <w:sz w:val="22"/>
          <w:szCs w:val="22"/>
        </w:rPr>
        <w:t>rsaliye uygulamasına zorunlu olarak</w:t>
      </w:r>
    </w:p>
    <w:p w14:paraId="68A06D75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geçişte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dikkate alınan 25 Milyon TL ve üzeri ciro haddi, 2021 hesap döneminden</w:t>
      </w:r>
    </w:p>
    <w:p w14:paraId="6D94148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itibaren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geçerli olmak üzere 10 Milyon TL ve üzeri olarak revize edilmiştir. Bu</w:t>
      </w:r>
    </w:p>
    <w:p w14:paraId="64E4052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düzenleme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ile e-Fatura uygulamasına kayıtlı olan ve 2021 ve müteakip yıllar cirosu 10</w:t>
      </w:r>
    </w:p>
    <w:p w14:paraId="1AA7D86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Milyon TL ve üzeri olan mükelleflerin izleyen yılın yedinci ayı başından itibaren </w:t>
      </w:r>
      <w:proofErr w:type="spellStart"/>
      <w:r w:rsidRPr="00C040AD">
        <w:rPr>
          <w:rFonts w:asciiTheme="majorHAnsi" w:hAnsiTheme="majorHAnsi" w:cstheme="majorHAnsi"/>
          <w:sz w:val="22"/>
          <w:szCs w:val="22"/>
        </w:rPr>
        <w:t>eİrsaliye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uygulamasına geçiş zorunluluğu başlamaktadır.</w:t>
      </w:r>
    </w:p>
    <w:p w14:paraId="3424E831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5- “Döviz ve Kıymetli Maden Alım Belgesi” ile “Döviz ve Kıymetli Maden Satım</w:t>
      </w:r>
    </w:p>
    <w:p w14:paraId="06EC694F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r w:rsidRPr="00C040AD">
        <w:rPr>
          <w:rFonts w:asciiTheme="majorHAnsi" w:hAnsiTheme="majorHAnsi" w:cstheme="majorHAnsi"/>
          <w:sz w:val="22"/>
          <w:szCs w:val="22"/>
        </w:rPr>
        <w:t>Belgesi”nin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de e-Döviz Alım/Satım Belgesi uygulaması kapsamında elektronik belge</w:t>
      </w:r>
    </w:p>
    <w:p w14:paraId="3690B672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(e-Döviz ve Kıymetli Maden Alım/Satım Belgesi şeklinde) düzenlenebilmesi</w:t>
      </w:r>
    </w:p>
    <w:p w14:paraId="68B3F67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imkanı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getirildi.</w:t>
      </w:r>
    </w:p>
    <w:p w14:paraId="5B036F99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Yetkili müesseseler dahil olmak üzere ilgili mevzuat gereğince döviz alım-satım belgesi</w:t>
      </w:r>
    </w:p>
    <w:p w14:paraId="2DDD3326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düzenleyebilen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tüm mükelleflerden aynı zamanda ilgili mevzuat dahilinde kıymetli maden</w:t>
      </w:r>
    </w:p>
    <w:p w14:paraId="1A00083B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alım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/satım yapma yetkisi de bulunanların, döviz ve kıymetli maden alım/satım işlemlerinde</w:t>
      </w:r>
    </w:p>
    <w:p w14:paraId="0E48879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>385 Sıra No.lu Vergi Usul Kanunu Genel Tebliği kapsamında tek belge olarak düzenlenebilen</w:t>
      </w:r>
    </w:p>
    <w:p w14:paraId="0F8682A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“Döviz ve Kıymetli Maden Alım Belgesi” ile “Döviz ve Kıymetli Maden Satım </w:t>
      </w:r>
      <w:proofErr w:type="spellStart"/>
      <w:r w:rsidRPr="00C040AD">
        <w:rPr>
          <w:rFonts w:asciiTheme="majorHAnsi" w:hAnsiTheme="majorHAnsi" w:cstheme="majorHAnsi"/>
          <w:sz w:val="22"/>
          <w:szCs w:val="22"/>
        </w:rPr>
        <w:t>Belgesi”ni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C040AD">
        <w:rPr>
          <w:rFonts w:asciiTheme="majorHAnsi" w:hAnsiTheme="majorHAnsi" w:cstheme="majorHAnsi"/>
          <w:sz w:val="22"/>
          <w:szCs w:val="22"/>
        </w:rPr>
        <w:t>eDöviz</w:t>
      </w:r>
      <w:proofErr w:type="spellEnd"/>
      <w:r w:rsidRPr="00C040AD">
        <w:rPr>
          <w:rFonts w:asciiTheme="majorHAnsi" w:hAnsiTheme="majorHAnsi" w:cstheme="majorHAnsi"/>
          <w:sz w:val="22"/>
          <w:szCs w:val="22"/>
        </w:rPr>
        <w:t xml:space="preserve"> Alım/Satım Belgesi uygulaması kapsamında elektronik belge olarak (e-Döviz ve</w:t>
      </w:r>
    </w:p>
    <w:p w14:paraId="364DF4A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Kıymetli Maden Alım/Satım Belgesi şeklinde) düzenleyebilmesine, muhatabına </w:t>
      </w:r>
      <w:proofErr w:type="gramStart"/>
      <w:r w:rsidRPr="00C040AD">
        <w:rPr>
          <w:rFonts w:asciiTheme="majorHAnsi" w:hAnsiTheme="majorHAnsi" w:cstheme="majorHAnsi"/>
          <w:sz w:val="22"/>
          <w:szCs w:val="22"/>
        </w:rPr>
        <w:t>kağıt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veya</w:t>
      </w:r>
    </w:p>
    <w:p w14:paraId="67AEFA1D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elektronik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ortamda iletilebilmesine ve elektronik ortamda muhafaza edilebilmesine imkan</w:t>
      </w:r>
    </w:p>
    <w:p w14:paraId="3EBE0FC4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sağlanmıştır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FAFBBA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6- e-gider pusulası uygulamasında düzenleyenin ayrıca </w:t>
      </w:r>
      <w:proofErr w:type="gramStart"/>
      <w:r w:rsidRPr="00C040AD">
        <w:rPr>
          <w:rFonts w:asciiTheme="majorHAnsi" w:hAnsiTheme="majorHAnsi" w:cstheme="majorHAnsi"/>
          <w:sz w:val="22"/>
          <w:szCs w:val="22"/>
        </w:rPr>
        <w:t>kağıt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çıktı üzerinde ıslak imza</w:t>
      </w:r>
    </w:p>
    <w:p w14:paraId="13BDF04C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atma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şartı kaldırıldı.</w:t>
      </w:r>
    </w:p>
    <w:p w14:paraId="78B8612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e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>-Gider Pusulası uygulamasında, elektronik ortamda düzenlenen ve elektronik sertifika ile</w:t>
      </w:r>
    </w:p>
    <w:p w14:paraId="54743BA8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imzalanan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e-Gider Pusulasının en az bir örnek kâğıt çıktısının sadece muhatabı tarafından</w:t>
      </w:r>
    </w:p>
    <w:p w14:paraId="0A218D40" w14:textId="77777777" w:rsidR="00C040AD" w:rsidRP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40AD">
        <w:rPr>
          <w:rFonts w:asciiTheme="majorHAnsi" w:hAnsiTheme="majorHAnsi" w:cstheme="majorHAnsi"/>
          <w:sz w:val="22"/>
          <w:szCs w:val="22"/>
        </w:rPr>
        <w:t xml:space="preserve">ıslak imza ile imzalanması yeterli hale gelmiş düzenleyenin ayrıca </w:t>
      </w:r>
      <w:proofErr w:type="gramStart"/>
      <w:r w:rsidRPr="00C040AD">
        <w:rPr>
          <w:rFonts w:asciiTheme="majorHAnsi" w:hAnsiTheme="majorHAnsi" w:cstheme="majorHAnsi"/>
          <w:sz w:val="22"/>
          <w:szCs w:val="22"/>
        </w:rPr>
        <w:t>kağıt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çıktı üzerinde ıslak</w:t>
      </w:r>
    </w:p>
    <w:p w14:paraId="7025C5B5" w14:textId="44349555" w:rsidR="00C040AD" w:rsidRDefault="00C040AD" w:rsidP="00C040A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040AD">
        <w:rPr>
          <w:rFonts w:asciiTheme="majorHAnsi" w:hAnsiTheme="majorHAnsi" w:cstheme="majorHAnsi"/>
          <w:sz w:val="22"/>
          <w:szCs w:val="22"/>
        </w:rPr>
        <w:t>imza</w:t>
      </w:r>
      <w:proofErr w:type="gramEnd"/>
      <w:r w:rsidRPr="00C040AD">
        <w:rPr>
          <w:rFonts w:asciiTheme="majorHAnsi" w:hAnsiTheme="majorHAnsi" w:cstheme="majorHAnsi"/>
          <w:sz w:val="22"/>
          <w:szCs w:val="22"/>
        </w:rPr>
        <w:t xml:space="preserve"> atma şartı kaldırılmıştır</w:t>
      </w:r>
    </w:p>
    <w:p w14:paraId="53D16E4A" w14:textId="2480FF73" w:rsidR="00C040AD" w:rsidRDefault="00C040A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A14F" w14:textId="77777777" w:rsidR="00F92F78" w:rsidRDefault="00F92F78" w:rsidP="006A7CD4">
      <w:r>
        <w:separator/>
      </w:r>
    </w:p>
  </w:endnote>
  <w:endnote w:type="continuationSeparator" w:id="0">
    <w:p w14:paraId="3FAAD7C5" w14:textId="77777777" w:rsidR="00F92F78" w:rsidRDefault="00F92F7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E8A6" w14:textId="77777777" w:rsidR="00F92F78" w:rsidRDefault="00F92F78" w:rsidP="006A7CD4">
      <w:r>
        <w:separator/>
      </w:r>
    </w:p>
  </w:footnote>
  <w:footnote w:type="continuationSeparator" w:id="0">
    <w:p w14:paraId="3F5CF3D3" w14:textId="77777777" w:rsidR="00F92F78" w:rsidRDefault="00F92F7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D21B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2F78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2022-01-23T08:09:00Z</dcterms:created>
  <dcterms:modified xsi:type="dcterms:W3CDTF">2022-01-23T08:09:00Z</dcterms:modified>
</cp:coreProperties>
</file>