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1820098" w:rsidR="002F28CC" w:rsidRPr="00664B38" w:rsidRDefault="00B9098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E35B2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6835FD2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E35B2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452F8FCD" w:rsidR="002F28CC" w:rsidRPr="00CB2165" w:rsidRDefault="00B9098C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098C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YABANCI PARA VE ALTIN HESAPLARININ TL MEVDUAT VE KATILMA HESAPLARINA DÖNÜŞTÜRÜLMESİNDEN ELDE EDİLEN KAZANÇLARA İLİŞKİN KURUMLAR VERGİSİ İSTİSNASININ UYGULAMA ESASLARI 19.NOLU KVGT.İLE AÇIKLANDI.</w:t>
            </w:r>
          </w:p>
        </w:tc>
      </w:tr>
      <w:bookmarkEnd w:id="0"/>
    </w:tbl>
    <w:p w14:paraId="2CE3799B" w14:textId="77777777" w:rsidR="00B9098C" w:rsidRDefault="00B9098C" w:rsidP="00B9098C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ACC5C0C" w14:textId="2BBB8A08" w:rsidR="00B9098C" w:rsidRDefault="00B9098C" w:rsidP="00B9098C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098C">
        <w:rPr>
          <w:rFonts w:asciiTheme="majorHAnsi" w:hAnsiTheme="majorHAnsi" w:cstheme="majorHAnsi"/>
          <w:b/>
          <w:bCs/>
          <w:sz w:val="22"/>
          <w:szCs w:val="22"/>
        </w:rPr>
        <w:t xml:space="preserve">KONU: YABANCI PARA VE ALTIN HESAPLARININ TL MEVDUAT VE KATILMA HESAPLARINA DÖNÜŞTÜRÜLMESİNDEN ELDE EDİLEN KAZANÇLARA İLİŞKİN KURUMLAR VERGİSİ İSTİSNASININ UYGULAMA ESASLARI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19.NOLU KVGT.İLE </w:t>
      </w:r>
      <w:r w:rsidRPr="00B9098C">
        <w:rPr>
          <w:rFonts w:asciiTheme="majorHAnsi" w:hAnsiTheme="majorHAnsi" w:cstheme="majorHAnsi"/>
          <w:b/>
          <w:bCs/>
          <w:sz w:val="22"/>
          <w:szCs w:val="22"/>
        </w:rPr>
        <w:t>AÇIKLANDI.</w:t>
      </w:r>
    </w:p>
    <w:p w14:paraId="0896A7E0" w14:textId="77777777" w:rsidR="00B9098C" w:rsidRPr="00B9098C" w:rsidRDefault="00B9098C" w:rsidP="00B9098C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9290EAF" w14:textId="73A2E254" w:rsidR="00B9098C" w:rsidRDefault="00B9098C" w:rsidP="00B9098C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098C">
        <w:rPr>
          <w:rFonts w:asciiTheme="majorHAnsi" w:hAnsiTheme="majorHAnsi" w:cstheme="majorHAnsi"/>
          <w:b/>
          <w:bCs/>
          <w:sz w:val="22"/>
          <w:szCs w:val="22"/>
        </w:rPr>
        <w:t xml:space="preserve">11 Şubat 2022 tarihli Resmî </w:t>
      </w:r>
      <w:proofErr w:type="spellStart"/>
      <w:r w:rsidRPr="00B9098C">
        <w:rPr>
          <w:rFonts w:asciiTheme="majorHAnsi" w:hAnsiTheme="majorHAnsi" w:cstheme="majorHAnsi"/>
          <w:b/>
          <w:bCs/>
          <w:sz w:val="22"/>
          <w:szCs w:val="22"/>
        </w:rPr>
        <w:t>Gazete’de</w:t>
      </w:r>
      <w:proofErr w:type="spellEnd"/>
      <w:r w:rsidRPr="00B9098C">
        <w:rPr>
          <w:rFonts w:asciiTheme="majorHAnsi" w:hAnsiTheme="majorHAnsi" w:cstheme="majorHAnsi"/>
          <w:b/>
          <w:bCs/>
          <w:sz w:val="22"/>
          <w:szCs w:val="22"/>
        </w:rPr>
        <w:t xml:space="preserve"> yayımlanan 19 seri numaralı Kurumlar Vergisi Genel Tebliği’nde, yabancı para ve altın hesaplarının Türk </w:t>
      </w:r>
      <w:proofErr w:type="gramStart"/>
      <w:r w:rsidRPr="00B9098C">
        <w:rPr>
          <w:rFonts w:asciiTheme="majorHAnsi" w:hAnsiTheme="majorHAnsi" w:cstheme="majorHAnsi"/>
          <w:b/>
          <w:bCs/>
          <w:sz w:val="22"/>
          <w:szCs w:val="22"/>
        </w:rPr>
        <w:t>Lirası</w:t>
      </w:r>
      <w:proofErr w:type="gramEnd"/>
      <w:r w:rsidRPr="00B9098C">
        <w:rPr>
          <w:rFonts w:asciiTheme="majorHAnsi" w:hAnsiTheme="majorHAnsi" w:cstheme="majorHAnsi"/>
          <w:b/>
          <w:bCs/>
          <w:sz w:val="22"/>
          <w:szCs w:val="22"/>
        </w:rPr>
        <w:t xml:space="preserve"> mevduat ve katılma hesaplarına dönüştürülmesinden elde edilen kazançlara ilişkin kurumlar vergisi istisnasının uygulama usul ve esasları açıklanmıştır. </w:t>
      </w:r>
    </w:p>
    <w:p w14:paraId="4AD19D89" w14:textId="77777777" w:rsidR="00E86C92" w:rsidRPr="00B9098C" w:rsidRDefault="00E86C92" w:rsidP="00B9098C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1C09A03" w14:textId="77777777" w:rsidR="00B9098C" w:rsidRDefault="00B9098C" w:rsidP="00B9098C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9098C">
        <w:rPr>
          <w:rFonts w:asciiTheme="majorHAnsi" w:hAnsiTheme="majorHAnsi" w:cstheme="majorHAnsi"/>
          <w:b/>
          <w:bCs/>
          <w:sz w:val="22"/>
          <w:szCs w:val="22"/>
        </w:rPr>
        <w:t xml:space="preserve">Sirkülerimizin ekinde yer alan Tebliğ, yayım tarihinde yürürlüğe girmiştir. </w:t>
      </w:r>
    </w:p>
    <w:p w14:paraId="07CF57E4" w14:textId="77777777" w:rsidR="00B9098C" w:rsidRPr="00B9098C" w:rsidRDefault="00B9098C" w:rsidP="00B9098C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47D3" w14:textId="77777777" w:rsidR="00B17D1F" w:rsidRDefault="00B17D1F" w:rsidP="006A7CD4">
      <w:r>
        <w:separator/>
      </w:r>
    </w:p>
  </w:endnote>
  <w:endnote w:type="continuationSeparator" w:id="0">
    <w:p w14:paraId="706119F6" w14:textId="77777777" w:rsidR="00B17D1F" w:rsidRDefault="00B17D1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4856" w14:textId="77777777" w:rsidR="00B17D1F" w:rsidRDefault="00B17D1F" w:rsidP="006A7CD4">
      <w:r>
        <w:separator/>
      </w:r>
    </w:p>
  </w:footnote>
  <w:footnote w:type="continuationSeparator" w:id="0">
    <w:p w14:paraId="0DEA2A90" w14:textId="77777777" w:rsidR="00B17D1F" w:rsidRDefault="00B17D1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2022-02-11T13:27:00Z</dcterms:created>
  <dcterms:modified xsi:type="dcterms:W3CDTF">2022-02-11T13:27:00Z</dcterms:modified>
</cp:coreProperties>
</file>