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9032954"/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1C36EA7" w:rsidR="002F28CC" w:rsidRPr="00664B38" w:rsidRDefault="003076C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33A6E3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3076C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4A3E42EA" w:rsidR="002F28CC" w:rsidRPr="00CB2165" w:rsidRDefault="000869B4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9B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SGK’DAN “KIDEM TAZMİNATINA ESAS YAZI” ALMA ŞARTLARI NELERDİR</w:t>
            </w:r>
            <w:r w:rsidR="001971DC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1"/>
    </w:tbl>
    <w:p w14:paraId="0E9AD991" w14:textId="77777777" w:rsidR="003076C2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0C52698" w14:textId="4F9D926E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SGK’DAN “KIDEM TAZMİNATINA ESAS YAZI” ALMA ŞARTLARI NELERDİR?</w:t>
      </w:r>
    </w:p>
    <w:p w14:paraId="766645C5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4C8F8B61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Yaş hariç emeklilik şartlarını taşıyan sigortalıların;</w:t>
      </w:r>
    </w:p>
    <w:p w14:paraId="39E2E8F9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Son i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yerinde en az 1 y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l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mak,</w:t>
      </w:r>
    </w:p>
    <w:p w14:paraId="51105F0A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08.09.1999 tarihinden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nce ilk sigortal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bulunan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anlar i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in 15 y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 sigortal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k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art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ve 3600</w:t>
      </w:r>
    </w:p>
    <w:p w14:paraId="7C1AE084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prim gün sigortalık süresi olmak,</w:t>
      </w:r>
    </w:p>
    <w:p w14:paraId="2E2418A6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08.09.1999 tarihi ile 30.04.2008 tarihleri aras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nda ilk sigortal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olan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anlar i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in, sigortal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k</w:t>
      </w:r>
    </w:p>
    <w:p w14:paraId="39D252F9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süresi göz önünde bulundurulmaksızın 7000 prim ödeme gün sayısı veya “4500 prim günü ve</w:t>
      </w:r>
    </w:p>
    <w:p w14:paraId="54C5FCE9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25 yıl sigortalılık süresi olmak,</w:t>
      </w:r>
    </w:p>
    <w:p w14:paraId="4A846A69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30.04.2008 tarihi ile 31.12.2008 tarihleri aras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nda ilk sigortal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olan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anlar i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in 4600 prim</w:t>
      </w:r>
    </w:p>
    <w:p w14:paraId="54F309F9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gün sigortalılık süresi olmak,</w:t>
      </w:r>
    </w:p>
    <w:p w14:paraId="0AD26868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01.01.2009 tarihi ile 31.12.2015 tarihleri arasında ilk sigortalılığı olan çalışanlar için 4600-5300</w:t>
      </w:r>
    </w:p>
    <w:p w14:paraId="44FC142E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prim gün (her yıl için 100 gün eklenerek hesaplanıyor) sigortalılık süresi olmak,</w:t>
      </w:r>
    </w:p>
    <w:p w14:paraId="159EFD9C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01.01.2016 tarihinden sonra ilk sigortal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 xml:space="preserve"> bulunan 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anlar i</w:t>
      </w:r>
      <w:r w:rsidRPr="003076C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3076C2">
        <w:rPr>
          <w:rFonts w:asciiTheme="majorHAnsi" w:hAnsiTheme="majorHAnsi" w:cstheme="majorHAnsi"/>
          <w:b/>
          <w:bCs/>
          <w:sz w:val="22"/>
          <w:szCs w:val="22"/>
        </w:rPr>
        <w:t>in 5400 prim gün sigortalılık</w:t>
      </w:r>
    </w:p>
    <w:p w14:paraId="0F73F56F" w14:textId="77777777" w:rsidR="003076C2" w:rsidRP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süresi olmak,</w:t>
      </w:r>
    </w:p>
    <w:p w14:paraId="6E9B59CB" w14:textId="202EAFE3" w:rsid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076C2">
        <w:rPr>
          <w:rFonts w:asciiTheme="majorHAnsi" w:hAnsiTheme="majorHAnsi" w:cstheme="majorHAnsi"/>
          <w:b/>
          <w:bCs/>
          <w:sz w:val="22"/>
          <w:szCs w:val="22"/>
        </w:rPr>
        <w:t>Şartları sağlandığında “SGK’dan kıdem tazminatına esas yazı” alınarak işten ayrılmak mümkündür.</w:t>
      </w:r>
    </w:p>
    <w:p w14:paraId="3A1E5295" w14:textId="77777777" w:rsidR="000869B4" w:rsidRPr="003076C2" w:rsidRDefault="000869B4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8D0C2F8" w14:textId="77777777" w:rsidR="003076C2" w:rsidRPr="000869B4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SGK’DAN KIDEM TAZMİNATINA ESAS YAZI ALMANIN ŞARTLARI</w:t>
      </w:r>
    </w:p>
    <w:p w14:paraId="5BD4989B" w14:textId="77777777" w:rsidR="003076C2" w:rsidRPr="000869B4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22.06.2013 tarihli 2013-26 sayılı genelgenin 4 üncü maddesinde;4447 sayılı Kanunun 45 inci</w:t>
      </w:r>
    </w:p>
    <w:p w14:paraId="05EF5D76" w14:textId="77777777" w:rsidR="003076C2" w:rsidRPr="000869B4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maddesiyle 1475 sayılı İş Kanununun 14 üncü maddesinin birinci fıkrasına eklenen (5) numaralı bentle</w:t>
      </w:r>
    </w:p>
    <w:p w14:paraId="633719F5" w14:textId="071CB2DA" w:rsidR="003076C2" w:rsidRPr="000869B4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506 sayılı Kanunun 60 ıncı maddesinin birinci fıkrasının (A) bendinin (a) ve (b) alt bentlerinde öngörülen</w:t>
      </w:r>
      <w:r w:rsidR="000869B4">
        <w:rPr>
          <w:rFonts w:asciiTheme="majorHAnsi" w:hAnsiTheme="majorHAnsi" w:cstheme="majorHAnsi"/>
          <w:sz w:val="22"/>
          <w:szCs w:val="22"/>
        </w:rPr>
        <w:t xml:space="preserve"> </w:t>
      </w:r>
      <w:r w:rsidRPr="000869B4">
        <w:rPr>
          <w:rFonts w:asciiTheme="majorHAnsi" w:hAnsiTheme="majorHAnsi" w:cstheme="majorHAnsi"/>
          <w:sz w:val="22"/>
          <w:szCs w:val="22"/>
        </w:rPr>
        <w:t>yaşlar dışında kalan diğer şartları (sigortalılık süresi ile prim ödeme gün sayısı) veya aynı Kanunun</w:t>
      </w:r>
      <w:r w:rsidR="000869B4">
        <w:rPr>
          <w:rFonts w:asciiTheme="majorHAnsi" w:hAnsiTheme="majorHAnsi" w:cstheme="majorHAnsi"/>
          <w:sz w:val="22"/>
          <w:szCs w:val="22"/>
        </w:rPr>
        <w:t xml:space="preserve"> </w:t>
      </w:r>
      <w:r w:rsidRPr="000869B4">
        <w:rPr>
          <w:rFonts w:asciiTheme="majorHAnsi" w:hAnsiTheme="majorHAnsi" w:cstheme="majorHAnsi"/>
          <w:sz w:val="22"/>
          <w:szCs w:val="22"/>
        </w:rPr>
        <w:t>Geçici 81 inci maddesine göre yaşlılık aylığı bağlanması için öngörülen sigortalılık süresini ve prim</w:t>
      </w:r>
      <w:r w:rsidR="000869B4">
        <w:rPr>
          <w:rFonts w:asciiTheme="majorHAnsi" w:hAnsiTheme="majorHAnsi" w:cstheme="majorHAnsi"/>
          <w:sz w:val="22"/>
          <w:szCs w:val="22"/>
        </w:rPr>
        <w:t xml:space="preserve"> </w:t>
      </w:r>
      <w:r w:rsidRPr="000869B4">
        <w:rPr>
          <w:rFonts w:asciiTheme="majorHAnsi" w:hAnsiTheme="majorHAnsi" w:cstheme="majorHAnsi"/>
          <w:sz w:val="22"/>
          <w:szCs w:val="22"/>
        </w:rPr>
        <w:t>ödeme gün sayısını tamamlayarak, kendi istekleri ile işten ayrılmaları halinde, sigortalılara kıdem</w:t>
      </w:r>
    </w:p>
    <w:p w14:paraId="53EBBBB9" w14:textId="730602D3" w:rsidR="003076C2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tazminatı ödeneceği öngörülmüştür.</w:t>
      </w:r>
    </w:p>
    <w:p w14:paraId="48A74A3E" w14:textId="77777777" w:rsidR="000869B4" w:rsidRPr="000869B4" w:rsidRDefault="000869B4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58D7B61" w14:textId="77777777" w:rsidR="003076C2" w:rsidRPr="000869B4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Talep edenlere kıdem tazminatına esas yazının verilmesi için sigortalıların Kanunda öngörülen yaş</w:t>
      </w:r>
    </w:p>
    <w:p w14:paraId="43B7C095" w14:textId="6FC3038A" w:rsidR="003076C2" w:rsidRPr="000869B4" w:rsidRDefault="003076C2" w:rsidP="003076C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dışındaki diğer koşulları (prim gün sayısı ve sigortalılık süresi) yerine getirmesi gerekmektedir.</w:t>
      </w:r>
    </w:p>
    <w:p w14:paraId="425FA3C5" w14:textId="77777777" w:rsidR="003076C2" w:rsidRPr="000869B4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5E409AB" w14:textId="77777777" w:rsidR="003076C2" w:rsidRPr="000869B4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A73B2DB" w14:textId="77777777" w:rsidR="003076C2" w:rsidRPr="000869B4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144657C" w14:textId="77777777" w:rsidR="003076C2" w:rsidRPr="000869B4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9173756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lastRenderedPageBreak/>
        <w:t>08.09.1999 tarihinden önce ilk sigortalılığı bulunan çalışanlar için 15 yıl sigortalılık şartı ve 3600 prim</w:t>
      </w:r>
    </w:p>
    <w:p w14:paraId="4AB29E88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gün sigortalık süresi olmak, 08.09.1999 tarihi ile 30.04.2008 tarihleri arasında ilk sigortalılığı olan</w:t>
      </w:r>
    </w:p>
    <w:p w14:paraId="41789B67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çalışanlar için, sigortalılık süresi göz önünde bulundurulmaksızın 7000 prim ödeme gün sayısı veya</w:t>
      </w:r>
    </w:p>
    <w:p w14:paraId="4AEE89A5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“4500 prim günü ve 25 yıl sigortalılık süresi olmak, 30.04.2008 tarihi ile 31.12.2008 tarihleri arasında</w:t>
      </w:r>
    </w:p>
    <w:p w14:paraId="3C2366DE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ilk sigortalılığı olan çalışanlar için 4600 prim gün sigortalılık süresi olmak, 01.01.2009 tarihi ile</w:t>
      </w:r>
    </w:p>
    <w:p w14:paraId="352E2A04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31.12.2015 tarihleri arasında ilk sigortalılığı olan çalışanlar için 4600-5300 prim gün (her yıl için 100</w:t>
      </w:r>
    </w:p>
    <w:p w14:paraId="470EAD5A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gün eklenerek hesaplanıyor) sigortalılık süresi olmak, 01.01.2016 tarihinden sonra ilk sigortalılığı</w:t>
      </w:r>
    </w:p>
    <w:p w14:paraId="191D1DA1" w14:textId="462BC3C3" w:rsid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bulunan çalışanlar için 5400 prim gün sigortalılık süresi olmak, gerekmektedir.</w:t>
      </w:r>
    </w:p>
    <w:p w14:paraId="1801E14A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CBF2B5B" w14:textId="1B2C985F" w:rsid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Gerek sigortalılık süresi gerekse gün koşulunun tespitinde hizmet birleştirmeleri ile bu süreleri etkileyen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869B4">
        <w:rPr>
          <w:rFonts w:asciiTheme="majorHAnsi" w:hAnsiTheme="majorHAnsi" w:cstheme="majorHAnsi"/>
          <w:sz w:val="22"/>
          <w:szCs w:val="22"/>
        </w:rPr>
        <w:t>faktörler (itibari hizmet süreleri, fiili hizmet süresi zamları…gibi) dikkate alınmaktadır. Ancak, 2829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869B4">
        <w:rPr>
          <w:rFonts w:asciiTheme="majorHAnsi" w:hAnsiTheme="majorHAnsi" w:cstheme="majorHAnsi"/>
          <w:sz w:val="22"/>
          <w:szCs w:val="22"/>
        </w:rPr>
        <w:t>sayılı Kanunun 8 inci maddesine göre değerlendirme yapılmaksızın son statünün 4/1-(a) olması bu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869B4">
        <w:rPr>
          <w:rFonts w:asciiTheme="majorHAnsi" w:hAnsiTheme="majorHAnsi" w:cstheme="majorHAnsi"/>
          <w:sz w:val="22"/>
          <w:szCs w:val="22"/>
        </w:rPr>
        <w:t>belgenin verilmesi için yeterli olacaktır.</w:t>
      </w:r>
    </w:p>
    <w:p w14:paraId="18DE28BD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CEF1C33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Kıdem tazminatına esas yazının verilebilmesi için sigortalının müracaat tarihinde işten ayrılma koşulu</w:t>
      </w:r>
    </w:p>
    <w:p w14:paraId="4C1997B5" w14:textId="1DCDA54B" w:rsid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aranmamaktadır.</w:t>
      </w:r>
    </w:p>
    <w:p w14:paraId="754ADE6C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CDDEA07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18 yaşın doldurulmasından önceki hizmetler, emeklilik açısından prim ödeme gün sayısı olarak dikkate</w:t>
      </w:r>
    </w:p>
    <w:p w14:paraId="3867B7E7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alınmakta ancak bu hizmetler emeklilik için gerekli sigortalılık süresinin hesabında dikkate</w:t>
      </w:r>
    </w:p>
    <w:p w14:paraId="7E06FCF2" w14:textId="5443CD91" w:rsid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alınmamaktadır. Kıdem tazminatı alma konusunda buna dikkat edilmelidir.</w:t>
      </w:r>
    </w:p>
    <w:p w14:paraId="48322917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D22BC8F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İşçinin tek taraflı olarak yaptığı istifanın ardından alacağı belgeyi sunması kıdem tazminatına hak</w:t>
      </w:r>
    </w:p>
    <w:p w14:paraId="68A8A279" w14:textId="77777777" w:rsidR="000869B4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kazandırmaz. Bu nedenle belgenin SGK’dan alınmasından sonra ilgili sebebe dayanarak istifa</w:t>
      </w:r>
    </w:p>
    <w:p w14:paraId="05693937" w14:textId="286DE4C9" w:rsidR="003076C2" w:rsidRPr="000869B4" w:rsidRDefault="000869B4" w:rsidP="000869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869B4">
        <w:rPr>
          <w:rFonts w:asciiTheme="majorHAnsi" w:hAnsiTheme="majorHAnsi" w:cstheme="majorHAnsi"/>
          <w:sz w:val="22"/>
          <w:szCs w:val="22"/>
        </w:rPr>
        <w:t>edilmesi olası mağduriyetleri önleyecektir.</w:t>
      </w:r>
    </w:p>
    <w:p w14:paraId="011080C0" w14:textId="77777777" w:rsidR="003076C2" w:rsidRPr="000869B4" w:rsidRDefault="003076C2" w:rsidP="009E76F9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661A90E7" w14:textId="69648FAC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  <w:bookmarkEnd w:id="0"/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23A2" w14:textId="77777777" w:rsidR="00F578D4" w:rsidRDefault="00F578D4" w:rsidP="006A7CD4">
      <w:r>
        <w:separator/>
      </w:r>
    </w:p>
  </w:endnote>
  <w:endnote w:type="continuationSeparator" w:id="0">
    <w:p w14:paraId="55281593" w14:textId="77777777" w:rsidR="00F578D4" w:rsidRDefault="00F578D4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1C88" w14:textId="77777777" w:rsidR="00F578D4" w:rsidRDefault="00F578D4" w:rsidP="006A7CD4">
      <w:r>
        <w:separator/>
      </w:r>
    </w:p>
  </w:footnote>
  <w:footnote w:type="continuationSeparator" w:id="0">
    <w:p w14:paraId="7C9A3A7D" w14:textId="77777777" w:rsidR="00F578D4" w:rsidRDefault="00F578D4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64BE"/>
    <w:rsid w:val="000869B4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971DC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D65F6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076C2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025D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578D4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2022-03-24T13:32:00Z</dcterms:created>
  <dcterms:modified xsi:type="dcterms:W3CDTF">2022-03-24T13:51:00Z</dcterms:modified>
</cp:coreProperties>
</file>