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25E5BC2C" w:rsidR="002F28CC" w:rsidRPr="00664B38" w:rsidRDefault="00680134"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A2DB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4393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7367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7077CFA3"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334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1A2DB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2F28CC" w:rsidRPr="00AD258C" w14:paraId="4DD9B45A" w14:textId="77777777" w:rsidTr="008A5B9A">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5D5DF28A" w14:textId="77777777" w:rsidR="00815707" w:rsidRPr="00815707" w:rsidRDefault="00815707" w:rsidP="00815707">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707">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GELİR, KURUMLAR, KATMA DEĞER VERGİSİ VE VERGİ USUL KANUNLARINDA</w:t>
            </w:r>
          </w:p>
          <w:p w14:paraId="30B5E9DE" w14:textId="782E7245" w:rsidR="002F28CC" w:rsidRPr="00CB2165" w:rsidRDefault="00815707" w:rsidP="00815707">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707">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DEĞİŞİKLİKLER YAPILDI.</w:t>
            </w:r>
          </w:p>
        </w:tc>
      </w:tr>
    </w:tbl>
    <w:bookmarkEnd w:id="0"/>
    <w:p w14:paraId="43AD9E71" w14:textId="19F368A2" w:rsidR="00815707" w:rsidRDefault="00815707" w:rsidP="00815707">
      <w:pPr>
        <w:tabs>
          <w:tab w:val="left" w:pos="2604"/>
          <w:tab w:val="left" w:pos="2970"/>
        </w:tabs>
        <w:spacing w:line="330" w:lineRule="atLeast"/>
        <w:textAlignment w:val="baseline"/>
        <w:rPr>
          <w:b/>
          <w:bCs/>
        </w:rPr>
      </w:pPr>
      <w:r w:rsidRPr="00815707">
        <w:rPr>
          <w:b/>
          <w:bCs/>
        </w:rPr>
        <w:t>ÖZET</w:t>
      </w:r>
      <w:r w:rsidR="000E6529">
        <w:rPr>
          <w:b/>
          <w:bCs/>
        </w:rPr>
        <w:t>:</w:t>
      </w:r>
    </w:p>
    <w:p w14:paraId="4044F544" w14:textId="77777777" w:rsidR="000E6529" w:rsidRPr="000E6529" w:rsidRDefault="000E6529" w:rsidP="000E6529">
      <w:pPr>
        <w:rPr>
          <w:b/>
          <w:bCs/>
        </w:rPr>
      </w:pPr>
      <w:r w:rsidRPr="000E6529">
        <w:rPr>
          <w:b/>
          <w:bCs/>
        </w:rPr>
        <w:t xml:space="preserve">15 Nisan 2022 tarihli ve 31810 sayılı </w:t>
      </w:r>
      <w:proofErr w:type="gramStart"/>
      <w:r w:rsidRPr="000E6529">
        <w:rPr>
          <w:b/>
          <w:bCs/>
        </w:rPr>
        <w:t>Resmi</w:t>
      </w:r>
      <w:proofErr w:type="gramEnd"/>
      <w:r w:rsidRPr="000E6529">
        <w:rPr>
          <w:b/>
          <w:bCs/>
        </w:rPr>
        <w:t xml:space="preserve"> Gazetede yayımlanan 7394 sayılı Hazineye Ait Taşınmaz Malların Değerlendirilmesi ve Katma Değer Vergisi Kanununda Değişiklik Yapılması Hakkında Kanun ile Bazı Kanunlarda ve Kanun Hükmünde Kararnamelerde Değişiklik Yapılmasına Dair Kanun ile Gelir Vergisi Kanunu, Kurumlar Vergisi Kanunu, Katma Değer Vergisi Kanunu ile Vergi Usul Kanununda değişiklikler yapılmıştır.</w:t>
      </w:r>
    </w:p>
    <w:p w14:paraId="677470C1" w14:textId="2125E03B" w:rsidR="000E6529" w:rsidRDefault="000E6529" w:rsidP="00815707">
      <w:pPr>
        <w:tabs>
          <w:tab w:val="left" w:pos="2604"/>
          <w:tab w:val="left" w:pos="2970"/>
        </w:tabs>
        <w:spacing w:line="330" w:lineRule="atLeast"/>
        <w:textAlignment w:val="baseline"/>
        <w:rPr>
          <w:b/>
          <w:bCs/>
        </w:rPr>
      </w:pPr>
      <w:r>
        <w:rPr>
          <w:b/>
          <w:bCs/>
        </w:rPr>
        <w:t xml:space="preserve">Özet </w:t>
      </w:r>
      <w:proofErr w:type="gramStart"/>
      <w:r>
        <w:rPr>
          <w:b/>
          <w:bCs/>
        </w:rPr>
        <w:t>ile :</w:t>
      </w:r>
      <w:proofErr w:type="gramEnd"/>
    </w:p>
    <w:p w14:paraId="5A22E60C" w14:textId="77777777" w:rsidR="00815707" w:rsidRDefault="00815707" w:rsidP="00815707">
      <w:pPr>
        <w:tabs>
          <w:tab w:val="left" w:pos="2604"/>
          <w:tab w:val="left" w:pos="2970"/>
        </w:tabs>
        <w:spacing w:line="330" w:lineRule="atLeast"/>
        <w:textAlignment w:val="baseline"/>
      </w:pPr>
      <w:r>
        <w:t>1) 5651 sayılı Kanun kapsamında reklam yasağı getirilenlere verilen reklam giderleri, gelir ve</w:t>
      </w:r>
    </w:p>
    <w:p w14:paraId="07E04D4E" w14:textId="77777777" w:rsidR="00815707" w:rsidRDefault="00815707" w:rsidP="00815707">
      <w:pPr>
        <w:tabs>
          <w:tab w:val="left" w:pos="2604"/>
          <w:tab w:val="left" w:pos="2970"/>
        </w:tabs>
        <w:spacing w:line="330" w:lineRule="atLeast"/>
        <w:textAlignment w:val="baseline"/>
      </w:pPr>
      <w:proofErr w:type="gramStart"/>
      <w:r>
        <w:t>kurumlar</w:t>
      </w:r>
      <w:proofErr w:type="gramEnd"/>
      <w:r>
        <w:t xml:space="preserve"> vergisi matrahlarından gider olarak indirilemeyecektir (Madde 1, 24 )</w:t>
      </w:r>
    </w:p>
    <w:p w14:paraId="43024EE0" w14:textId="77777777" w:rsidR="00815707" w:rsidRDefault="00815707" w:rsidP="00815707">
      <w:pPr>
        <w:tabs>
          <w:tab w:val="left" w:pos="2604"/>
          <w:tab w:val="left" w:pos="2970"/>
        </w:tabs>
        <w:spacing w:line="330" w:lineRule="atLeast"/>
        <w:textAlignment w:val="baseline"/>
      </w:pPr>
      <w:r>
        <w:t>2) Ayrı bir muayenehanesi ve organizasyonu bulunmaksızın faaliyetlerini özel sözleşmelere</w:t>
      </w:r>
    </w:p>
    <w:p w14:paraId="613C0C85" w14:textId="78AB10E4" w:rsidR="00815707" w:rsidRDefault="00815707" w:rsidP="00815707">
      <w:pPr>
        <w:tabs>
          <w:tab w:val="left" w:pos="2604"/>
          <w:tab w:val="left" w:pos="2970"/>
        </w:tabs>
        <w:spacing w:line="330" w:lineRule="atLeast"/>
        <w:textAlignment w:val="baseline"/>
      </w:pPr>
      <w:proofErr w:type="gramStart"/>
      <w:r>
        <w:t>istinaden</w:t>
      </w:r>
      <w:proofErr w:type="gramEnd"/>
      <w:r>
        <w:t xml:space="preserve"> yürüten hekimler ile tıpta uzmanlık mevzuatına göre uzman olan kişilerin elde ettikleri</w:t>
      </w:r>
      <w:r w:rsidR="00503E92">
        <w:t xml:space="preserve"> </w:t>
      </w:r>
      <w:r>
        <w:t>gelirler, serbest meslek kazancı olarak vergilendirilecektir. (</w:t>
      </w:r>
      <w:proofErr w:type="gramStart"/>
      <w:r>
        <w:t>madde</w:t>
      </w:r>
      <w:proofErr w:type="gramEnd"/>
      <w:r>
        <w:t xml:space="preserve"> 2)</w:t>
      </w:r>
    </w:p>
    <w:p w14:paraId="79BD49E0" w14:textId="713CDB7C" w:rsidR="00815707" w:rsidRDefault="00815707" w:rsidP="00815707">
      <w:pPr>
        <w:tabs>
          <w:tab w:val="left" w:pos="2604"/>
          <w:tab w:val="left" w:pos="2970"/>
        </w:tabs>
        <w:spacing w:line="330" w:lineRule="atLeast"/>
        <w:textAlignment w:val="baseline"/>
      </w:pPr>
      <w:r>
        <w:t>3) Vergi daireleri tarafından düzenlenen ve vergi dairesince imzalanması gereken belgeler Gelir</w:t>
      </w:r>
      <w:r w:rsidR="00503E92">
        <w:t xml:space="preserve"> </w:t>
      </w:r>
      <w:r>
        <w:t>İdaresi Başkanlığınca elektronik ortamda imzalanabilecek ve bu belgeler vergi dairesi</w:t>
      </w:r>
    </w:p>
    <w:p w14:paraId="6DC804F7" w14:textId="77777777" w:rsidR="00815707" w:rsidRDefault="00815707" w:rsidP="00815707">
      <w:pPr>
        <w:tabs>
          <w:tab w:val="left" w:pos="2604"/>
          <w:tab w:val="left" w:pos="2970"/>
        </w:tabs>
        <w:spacing w:line="330" w:lineRule="atLeast"/>
        <w:textAlignment w:val="baseline"/>
      </w:pPr>
      <w:proofErr w:type="gramStart"/>
      <w:r>
        <w:t>tarafından</w:t>
      </w:r>
      <w:proofErr w:type="gramEnd"/>
      <w:r>
        <w:t xml:space="preserve"> imzalanmış, mühürlenmiş veya onaylanmış sayılacaktır (madde 3)</w:t>
      </w:r>
    </w:p>
    <w:p w14:paraId="2D737BD5" w14:textId="77777777" w:rsidR="00815707" w:rsidRDefault="00815707" w:rsidP="00815707">
      <w:pPr>
        <w:tabs>
          <w:tab w:val="left" w:pos="2604"/>
          <w:tab w:val="left" w:pos="2970"/>
        </w:tabs>
        <w:spacing w:line="330" w:lineRule="atLeast"/>
        <w:textAlignment w:val="baseline"/>
      </w:pPr>
      <w:r>
        <w:t>4) Kaçakçılık suçları ve cezalarına ilişkin olarak ceza süreleri artırılırken, soruşturma ve</w:t>
      </w:r>
    </w:p>
    <w:p w14:paraId="51AA8CB6" w14:textId="46BD07B4" w:rsidR="00815707" w:rsidRDefault="00815707" w:rsidP="00815707">
      <w:pPr>
        <w:tabs>
          <w:tab w:val="left" w:pos="2604"/>
          <w:tab w:val="left" w:pos="2970"/>
        </w:tabs>
        <w:spacing w:line="330" w:lineRule="atLeast"/>
        <w:textAlignment w:val="baseline"/>
      </w:pPr>
      <w:proofErr w:type="gramStart"/>
      <w:r>
        <w:t>kovuşturma</w:t>
      </w:r>
      <w:proofErr w:type="gramEnd"/>
      <w:r>
        <w:t xml:space="preserve"> aşamasında belirli koşulların varlığı halinde ceza sürelerinde indirim yapılmaktadır.(madde 4, 6 )</w:t>
      </w:r>
    </w:p>
    <w:p w14:paraId="16E4FFB5" w14:textId="77777777" w:rsidR="00815707" w:rsidRDefault="00815707" w:rsidP="00815707">
      <w:pPr>
        <w:tabs>
          <w:tab w:val="left" w:pos="2604"/>
          <w:tab w:val="left" w:pos="2970"/>
        </w:tabs>
        <w:spacing w:line="330" w:lineRule="atLeast"/>
        <w:textAlignment w:val="baseline"/>
      </w:pPr>
      <w:r>
        <w:t>5) Vergi kaçakçılığı suçunun, başka bir kişi tarafından veya başka bir kişiyle birlikte</w:t>
      </w:r>
    </w:p>
    <w:p w14:paraId="6A327135" w14:textId="77777777" w:rsidR="00815707" w:rsidRDefault="00815707" w:rsidP="00815707">
      <w:pPr>
        <w:tabs>
          <w:tab w:val="left" w:pos="2604"/>
          <w:tab w:val="left" w:pos="2970"/>
        </w:tabs>
        <w:spacing w:line="330" w:lineRule="atLeast"/>
        <w:textAlignment w:val="baseline"/>
      </w:pPr>
      <w:proofErr w:type="gramStart"/>
      <w:r>
        <w:t>gerçekleştirildiğinin</w:t>
      </w:r>
      <w:proofErr w:type="gramEnd"/>
      <w:r>
        <w:t xml:space="preserve"> ortaya çıkması durumunda, bu kişi bakımından kamu davası açılması için</w:t>
      </w:r>
    </w:p>
    <w:p w14:paraId="2C2DEFC6" w14:textId="77777777" w:rsidR="00815707" w:rsidRDefault="00815707" w:rsidP="00815707">
      <w:pPr>
        <w:tabs>
          <w:tab w:val="left" w:pos="2604"/>
          <w:tab w:val="left" w:pos="2970"/>
        </w:tabs>
        <w:spacing w:line="330" w:lineRule="atLeast"/>
        <w:textAlignment w:val="baseline"/>
      </w:pPr>
      <w:proofErr w:type="gramStart"/>
      <w:r>
        <w:t>rapor</w:t>
      </w:r>
      <w:proofErr w:type="gramEnd"/>
      <w:r>
        <w:t xml:space="preserve"> düzenlenmesi ve mütalaa verilmesi şartı aranmayacaktır (madde 5).</w:t>
      </w:r>
    </w:p>
    <w:p w14:paraId="51E03438" w14:textId="4B8CBFC4" w:rsidR="00815707" w:rsidRDefault="00815707" w:rsidP="00815707">
      <w:pPr>
        <w:tabs>
          <w:tab w:val="left" w:pos="2604"/>
          <w:tab w:val="left" w:pos="2970"/>
        </w:tabs>
        <w:spacing w:line="330" w:lineRule="atLeast"/>
        <w:textAlignment w:val="baseline"/>
      </w:pPr>
      <w:r>
        <w:t>6) Yabancılara yapılan konut veya iş yeri teslimlerinde uygulanan katma değer vergisi istisnasının</w:t>
      </w:r>
      <w:r w:rsidR="00503E92">
        <w:t xml:space="preserve"> </w:t>
      </w:r>
      <w:r>
        <w:t>koşullarından birisi olan gayrimenkulün elden çıkarılmamasına ilişkin süre bir yıldan üç yıla</w:t>
      </w:r>
      <w:r w:rsidR="00503E92">
        <w:t xml:space="preserve"> </w:t>
      </w:r>
      <w:r>
        <w:t>çıkarılmaktadır (madde 10).</w:t>
      </w:r>
    </w:p>
    <w:p w14:paraId="6702D447" w14:textId="14CB14FF" w:rsidR="00C70070" w:rsidRDefault="00815707" w:rsidP="00815707">
      <w:pPr>
        <w:tabs>
          <w:tab w:val="left" w:pos="2604"/>
          <w:tab w:val="left" w:pos="2970"/>
        </w:tabs>
        <w:spacing w:line="330" w:lineRule="atLeast"/>
        <w:textAlignment w:val="baseline"/>
      </w:pPr>
      <w:r>
        <w:t>7) İmalat sanayine turizme yönelik yatırım teşvik belgesi sahibi mükelleflere belge kapsamındaki</w:t>
      </w:r>
      <w:r w:rsidR="00503E92">
        <w:t xml:space="preserve"> </w:t>
      </w:r>
      <w:r>
        <w:t>inşaat işlerine ilişkin mal teslimleri ve hizmet ifalarının katma değer vergisinden istisna olmasına</w:t>
      </w:r>
      <w:r w:rsidR="00503E92">
        <w:t xml:space="preserve"> </w:t>
      </w:r>
      <w:r>
        <w:t>ilişkin süre 31/12/2025 tarihine kadar uzatılmakta ve turizme yönelik yatırım teşvik belgeleri de</w:t>
      </w:r>
      <w:r w:rsidR="00503E92">
        <w:t xml:space="preserve"> </w:t>
      </w:r>
      <w:r>
        <w:t>kapsama alınmaktadır (madde 11).</w:t>
      </w:r>
    </w:p>
    <w:p w14:paraId="0A4D89A3" w14:textId="5BA5EAEF" w:rsidR="001A2DBE" w:rsidRDefault="001A2DBE" w:rsidP="009E76F9">
      <w:pPr>
        <w:tabs>
          <w:tab w:val="left" w:pos="2604"/>
          <w:tab w:val="left" w:pos="2970"/>
        </w:tabs>
        <w:spacing w:line="330" w:lineRule="atLeast"/>
        <w:textAlignment w:val="baseline"/>
      </w:pPr>
    </w:p>
    <w:p w14:paraId="00DAB2E4" w14:textId="77777777" w:rsidR="00815707" w:rsidRDefault="00815707" w:rsidP="00815707">
      <w:pPr>
        <w:tabs>
          <w:tab w:val="left" w:pos="2604"/>
          <w:tab w:val="left" w:pos="2970"/>
        </w:tabs>
        <w:spacing w:line="330" w:lineRule="atLeast"/>
        <w:textAlignment w:val="baseline"/>
      </w:pPr>
      <w:r>
        <w:t>8) Türkiye'de gerçekleştirilen Ar-Ge faaliyetleri sonucunda geliştirilen elektrik motorlu taşıt</w:t>
      </w:r>
    </w:p>
    <w:p w14:paraId="610D85C1" w14:textId="77777777" w:rsidR="00815707" w:rsidRDefault="00815707" w:rsidP="00815707">
      <w:pPr>
        <w:tabs>
          <w:tab w:val="left" w:pos="2604"/>
          <w:tab w:val="left" w:pos="2970"/>
        </w:tabs>
        <w:spacing w:line="330" w:lineRule="atLeast"/>
        <w:textAlignment w:val="baseline"/>
      </w:pPr>
      <w:proofErr w:type="gramStart"/>
      <w:r>
        <w:t>araçlarını</w:t>
      </w:r>
      <w:proofErr w:type="gramEnd"/>
      <w:r>
        <w:t xml:space="preserve"> Türkiye'de imal eden mükelleflere, bu araçların geliştirilmesine yönelik verilen ve</w:t>
      </w:r>
    </w:p>
    <w:p w14:paraId="5ED12E68" w14:textId="77777777" w:rsidR="00815707" w:rsidRDefault="00815707" w:rsidP="00815707">
      <w:pPr>
        <w:tabs>
          <w:tab w:val="left" w:pos="2604"/>
          <w:tab w:val="left" w:pos="2970"/>
        </w:tabs>
        <w:spacing w:line="330" w:lineRule="atLeast"/>
        <w:textAlignment w:val="baseline"/>
      </w:pPr>
      <w:proofErr w:type="gramStart"/>
      <w:r>
        <w:t>yatırım</w:t>
      </w:r>
      <w:proofErr w:type="gramEnd"/>
      <w:r>
        <w:t xml:space="preserve"> teşvik belgesi kapsamında yer alan mühendislik hizmetleri 31/12/2023 tarihine kadar</w:t>
      </w:r>
    </w:p>
    <w:p w14:paraId="19EE234D" w14:textId="77777777" w:rsidR="00815707" w:rsidRDefault="00815707" w:rsidP="00815707">
      <w:pPr>
        <w:tabs>
          <w:tab w:val="left" w:pos="2604"/>
          <w:tab w:val="left" w:pos="2970"/>
        </w:tabs>
        <w:spacing w:line="330" w:lineRule="atLeast"/>
        <w:textAlignment w:val="baseline"/>
      </w:pPr>
      <w:proofErr w:type="gramStart"/>
      <w:r>
        <w:lastRenderedPageBreak/>
        <w:t>katma</w:t>
      </w:r>
      <w:proofErr w:type="gramEnd"/>
      <w:r>
        <w:t xml:space="preserve"> değer vergisinden istisna edilmektedir (madde 12).</w:t>
      </w:r>
    </w:p>
    <w:p w14:paraId="7507796B" w14:textId="7AC57EDD" w:rsidR="00815707" w:rsidRDefault="00815707" w:rsidP="00815707">
      <w:pPr>
        <w:tabs>
          <w:tab w:val="left" w:pos="2604"/>
          <w:tab w:val="left" w:pos="2970"/>
        </w:tabs>
        <w:spacing w:line="330" w:lineRule="atLeast"/>
        <w:textAlignment w:val="baseline"/>
      </w:pPr>
      <w:r>
        <w:t>9) Tam mükellefiyete tabi girişim sermayesi yatırım fonu katılma paylarının fona iadesinden doğan</w:t>
      </w:r>
      <w:r w:rsidR="00503E92">
        <w:t xml:space="preserve"> </w:t>
      </w:r>
      <w:r>
        <w:t>gelirleri kurumlar vergisinden istisna edilirken, alt yapı gayrimenkul yatırım ortaklarının</w:t>
      </w:r>
      <w:r w:rsidR="00503E92">
        <w:t xml:space="preserve"> </w:t>
      </w:r>
      <w:r>
        <w:t>kazançları kurumlar vergisine tabi tutulmaktadır (madde 22).</w:t>
      </w:r>
    </w:p>
    <w:p w14:paraId="0ABD9FFD" w14:textId="581C9E81" w:rsidR="00815707" w:rsidRDefault="00815707" w:rsidP="00815707">
      <w:pPr>
        <w:tabs>
          <w:tab w:val="left" w:pos="2604"/>
          <w:tab w:val="left" w:pos="2970"/>
        </w:tabs>
        <w:spacing w:line="330" w:lineRule="atLeast"/>
        <w:textAlignment w:val="baseline"/>
      </w:pPr>
      <w:r>
        <w:t xml:space="preserve">10) Türk Ticaret Kanununun 376 </w:t>
      </w:r>
      <w:proofErr w:type="spellStart"/>
      <w:r>
        <w:t>ncı</w:t>
      </w:r>
      <w:proofErr w:type="spellEnd"/>
      <w:r>
        <w:t xml:space="preserve"> maddesi uyarınca sermayenin tamamlanmasına karar verilen</w:t>
      </w:r>
      <w:r w:rsidR="00503E92">
        <w:t xml:space="preserve"> </w:t>
      </w:r>
      <w:r>
        <w:t>şirketin ortakları tarafından zarar sebebiyle karşılıksız kalan kısmı kapatacak miktarda aktarılan</w:t>
      </w:r>
      <w:r w:rsidR="000E6529">
        <w:t xml:space="preserve"> </w:t>
      </w:r>
      <w:r>
        <w:t>tutarlar kurum kazancının tespitinde dikkate alınmayacaktır (madde 23</w:t>
      </w:r>
      <w:proofErr w:type="gramStart"/>
      <w:r>
        <w:t>) .</w:t>
      </w:r>
      <w:proofErr w:type="gramEnd"/>
    </w:p>
    <w:p w14:paraId="7AC3BB2A" w14:textId="3127570B" w:rsidR="001A2DBE" w:rsidRPr="00C70070" w:rsidRDefault="00815707" w:rsidP="009E76F9">
      <w:pPr>
        <w:tabs>
          <w:tab w:val="left" w:pos="2604"/>
          <w:tab w:val="left" w:pos="2970"/>
        </w:tabs>
        <w:spacing w:line="330" w:lineRule="atLeast"/>
        <w:textAlignment w:val="baseline"/>
      </w:pPr>
      <w:r>
        <w:t xml:space="preserve">11) Bankalar, Türkiye’de kurulu finansal kiralama, </w:t>
      </w:r>
      <w:proofErr w:type="spellStart"/>
      <w:r>
        <w:t>faktoring</w:t>
      </w:r>
      <w:proofErr w:type="spellEnd"/>
      <w:r>
        <w:t>, finansman ve tasarruf finansman</w:t>
      </w:r>
      <w:r>
        <w:t xml:space="preserve"> </w:t>
      </w:r>
      <w:r>
        <w:t>şirketleri, elektronik ödeme ve para kuruluşları, yetkili döviz müesseseleri, varlık yönetim</w:t>
      </w:r>
      <w:r>
        <w:t xml:space="preserve"> </w:t>
      </w:r>
      <w:r>
        <w:t>şirketleri, sermaye piyasası kurumları ile sigorta ve reasürans şirketleri ve emeklilik şirketlerinin</w:t>
      </w:r>
      <w:r>
        <w:t xml:space="preserve"> </w:t>
      </w:r>
      <w:r>
        <w:t>kazançları üzerindeki kurumlar vergisi oranı 2022 yılından itibaren 25’e çıkarılmaktadır (</w:t>
      </w:r>
      <w:proofErr w:type="spellStart"/>
      <w:r>
        <w:t>madd</w:t>
      </w:r>
      <w:proofErr w:type="spellEnd"/>
      <w:r>
        <w:t xml:space="preserve"> </w:t>
      </w:r>
      <w:r>
        <w:t>25, 26</w:t>
      </w:r>
      <w:proofErr w:type="gramStart"/>
      <w:r>
        <w:t>) .</w:t>
      </w:r>
      <w:proofErr w:type="gramEnd"/>
      <w:r>
        <w:cr/>
      </w:r>
    </w:p>
    <w:p w14:paraId="661A90E7" w14:textId="78B442ED" w:rsidR="009E76F9" w:rsidRDefault="000E4A96" w:rsidP="009E76F9">
      <w:pPr>
        <w:tabs>
          <w:tab w:val="left" w:pos="2604"/>
          <w:tab w:val="left" w:pos="2970"/>
        </w:tabs>
        <w:spacing w:line="330" w:lineRule="atLeast"/>
        <w:textAlignment w:val="baseline"/>
        <w:rPr>
          <w:b/>
          <w:bCs/>
        </w:rPr>
      </w:pPr>
      <w:r>
        <w:rPr>
          <w:b/>
          <w:bCs/>
        </w:rPr>
        <w:t>B</w:t>
      </w:r>
      <w:r w:rsidR="009E76F9" w:rsidRPr="0005394D">
        <w:rPr>
          <w:b/>
          <w:bCs/>
        </w:rPr>
        <w:t>ilgilerinize sunulur.</w:t>
      </w:r>
      <w:r w:rsidR="009E76F9">
        <w:rPr>
          <w:b/>
          <w:bCs/>
        </w:rPr>
        <w:tab/>
      </w:r>
    </w:p>
    <w:p w14:paraId="756E98A9" w14:textId="7D1276EE" w:rsidR="0073672D" w:rsidRDefault="009E76F9" w:rsidP="0073672D">
      <w:pPr>
        <w:tabs>
          <w:tab w:val="left" w:pos="2604"/>
        </w:tabs>
        <w:spacing w:line="330" w:lineRule="atLeast"/>
        <w:textAlignment w:val="baseline"/>
        <w:rPr>
          <w:b/>
          <w:bCs/>
        </w:rPr>
      </w:pPr>
      <w:r w:rsidRPr="0005394D">
        <w:rPr>
          <w:b/>
          <w:bCs/>
        </w:rPr>
        <w:t>S</w:t>
      </w:r>
      <w:r w:rsidRPr="009D4954">
        <w:rPr>
          <w:b/>
          <w:bCs/>
        </w:rPr>
        <w:t>ayg</w:t>
      </w:r>
      <w:r w:rsidR="0073672D">
        <w:rPr>
          <w:b/>
          <w:bCs/>
        </w:rPr>
        <w:t>ılarımızla…</w:t>
      </w:r>
    </w:p>
    <w:sectPr w:rsidR="0073672D"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1279" w14:textId="77777777" w:rsidR="00195B09" w:rsidRDefault="00195B09" w:rsidP="006A7CD4">
      <w:r>
        <w:separator/>
      </w:r>
    </w:p>
  </w:endnote>
  <w:endnote w:type="continuationSeparator" w:id="0">
    <w:p w14:paraId="69E3354C" w14:textId="77777777" w:rsidR="00195B09" w:rsidRDefault="00195B09"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CB1A" w14:textId="77777777" w:rsidR="00195B09" w:rsidRDefault="00195B09" w:rsidP="006A7CD4">
      <w:r>
        <w:separator/>
      </w:r>
    </w:p>
  </w:footnote>
  <w:footnote w:type="continuationSeparator" w:id="0">
    <w:p w14:paraId="3465A20F" w14:textId="77777777" w:rsidR="00195B09" w:rsidRDefault="00195B09"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5"/>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0"/>
  </w:num>
  <w:num w:numId="7" w16cid:durableId="55320363">
    <w:abstractNumId w:val="17"/>
  </w:num>
  <w:num w:numId="8" w16cid:durableId="62990709">
    <w:abstractNumId w:val="11"/>
  </w:num>
  <w:num w:numId="9" w16cid:durableId="910231745">
    <w:abstractNumId w:val="3"/>
  </w:num>
  <w:num w:numId="10" w16cid:durableId="414782825">
    <w:abstractNumId w:val="27"/>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0"/>
  </w:num>
  <w:num w:numId="14" w16cid:durableId="38743444">
    <w:abstractNumId w:val="10"/>
  </w:num>
  <w:num w:numId="15" w16cid:durableId="470556767">
    <w:abstractNumId w:val="26"/>
  </w:num>
  <w:num w:numId="16" w16cid:durableId="137067929">
    <w:abstractNumId w:val="6"/>
  </w:num>
  <w:num w:numId="17" w16cid:durableId="200167590">
    <w:abstractNumId w:val="4"/>
  </w:num>
  <w:num w:numId="18" w16cid:durableId="590700026">
    <w:abstractNumId w:val="16"/>
  </w:num>
  <w:num w:numId="19" w16cid:durableId="280767537">
    <w:abstractNumId w:val="28"/>
  </w:num>
  <w:num w:numId="20" w16cid:durableId="1055204585">
    <w:abstractNumId w:val="5"/>
  </w:num>
  <w:num w:numId="21" w16cid:durableId="1193496218">
    <w:abstractNumId w:val="21"/>
  </w:num>
  <w:num w:numId="22" w16cid:durableId="1328365093">
    <w:abstractNumId w:val="15"/>
  </w:num>
  <w:num w:numId="23" w16cid:durableId="103308979">
    <w:abstractNumId w:val="0"/>
  </w:num>
  <w:num w:numId="24" w16cid:durableId="1202861779">
    <w:abstractNumId w:val="33"/>
  </w:num>
  <w:num w:numId="25" w16cid:durableId="1814373942">
    <w:abstractNumId w:val="18"/>
  </w:num>
  <w:num w:numId="26" w16cid:durableId="884485920">
    <w:abstractNumId w:val="34"/>
  </w:num>
  <w:num w:numId="27" w16cid:durableId="919095957">
    <w:abstractNumId w:val="14"/>
  </w:num>
  <w:num w:numId="28" w16cid:durableId="2072149546">
    <w:abstractNumId w:val="12"/>
    <w:lvlOverride w:ilvl="0">
      <w:startOverride w:val="1"/>
    </w:lvlOverride>
  </w:num>
  <w:num w:numId="29" w16cid:durableId="441652100">
    <w:abstractNumId w:val="22"/>
  </w:num>
  <w:num w:numId="30" w16cid:durableId="1631394910">
    <w:abstractNumId w:val="31"/>
  </w:num>
  <w:num w:numId="31" w16cid:durableId="215625413">
    <w:abstractNumId w:val="2"/>
  </w:num>
  <w:num w:numId="32" w16cid:durableId="1359695221">
    <w:abstractNumId w:val="24"/>
  </w:num>
  <w:num w:numId="33" w16cid:durableId="497114283">
    <w:abstractNumId w:val="23"/>
  </w:num>
  <w:num w:numId="34" w16cid:durableId="1631394311">
    <w:abstractNumId w:val="29"/>
  </w:num>
  <w:num w:numId="35" w16cid:durableId="1461192928">
    <w:abstractNumId w:val="32"/>
  </w:num>
  <w:num w:numId="36" w16cid:durableId="1158812207">
    <w:abstractNumId w:val="19"/>
  </w:num>
  <w:num w:numId="37" w16cid:durableId="495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931"/>
    <w:rsid w:val="0004599B"/>
    <w:rsid w:val="000575C9"/>
    <w:rsid w:val="00064834"/>
    <w:rsid w:val="000673E0"/>
    <w:rsid w:val="00067483"/>
    <w:rsid w:val="00077057"/>
    <w:rsid w:val="00081FDE"/>
    <w:rsid w:val="000830A5"/>
    <w:rsid w:val="00087B4F"/>
    <w:rsid w:val="000931EE"/>
    <w:rsid w:val="000A113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5379B"/>
    <w:rsid w:val="00156F72"/>
    <w:rsid w:val="00166AD0"/>
    <w:rsid w:val="00170933"/>
    <w:rsid w:val="00173778"/>
    <w:rsid w:val="001811B2"/>
    <w:rsid w:val="0018138F"/>
    <w:rsid w:val="00182C0C"/>
    <w:rsid w:val="00187380"/>
    <w:rsid w:val="00192085"/>
    <w:rsid w:val="001943B9"/>
    <w:rsid w:val="00195B09"/>
    <w:rsid w:val="001960D3"/>
    <w:rsid w:val="00196BC3"/>
    <w:rsid w:val="001A2DBE"/>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24D59"/>
    <w:rsid w:val="00340B9C"/>
    <w:rsid w:val="0034417F"/>
    <w:rsid w:val="00350C8A"/>
    <w:rsid w:val="00352BE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0F66"/>
    <w:rsid w:val="003D3471"/>
    <w:rsid w:val="003D3715"/>
    <w:rsid w:val="003D6F83"/>
    <w:rsid w:val="003D7E0B"/>
    <w:rsid w:val="003E46B5"/>
    <w:rsid w:val="003E6F59"/>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50D1"/>
    <w:rsid w:val="00555FCC"/>
    <w:rsid w:val="00556F76"/>
    <w:rsid w:val="00560F2E"/>
    <w:rsid w:val="00564C02"/>
    <w:rsid w:val="00570B49"/>
    <w:rsid w:val="005721DD"/>
    <w:rsid w:val="005764B7"/>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4266"/>
    <w:rsid w:val="00735124"/>
    <w:rsid w:val="0073672D"/>
    <w:rsid w:val="0073703D"/>
    <w:rsid w:val="00744D6E"/>
    <w:rsid w:val="00747562"/>
    <w:rsid w:val="007573E8"/>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7BE1"/>
    <w:rsid w:val="007E092B"/>
    <w:rsid w:val="007E42B9"/>
    <w:rsid w:val="007F0373"/>
    <w:rsid w:val="007F0D2E"/>
    <w:rsid w:val="00801AD8"/>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62DAA"/>
    <w:rsid w:val="00A71DCF"/>
    <w:rsid w:val="00A728F0"/>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F55"/>
    <w:rsid w:val="00B53E39"/>
    <w:rsid w:val="00B54FFD"/>
    <w:rsid w:val="00B552E1"/>
    <w:rsid w:val="00B62692"/>
    <w:rsid w:val="00B654D2"/>
    <w:rsid w:val="00B65B4A"/>
    <w:rsid w:val="00B713B2"/>
    <w:rsid w:val="00B74855"/>
    <w:rsid w:val="00B847B5"/>
    <w:rsid w:val="00B862CB"/>
    <w:rsid w:val="00B9098C"/>
    <w:rsid w:val="00B9462C"/>
    <w:rsid w:val="00B952A1"/>
    <w:rsid w:val="00B96C70"/>
    <w:rsid w:val="00BA072F"/>
    <w:rsid w:val="00BA19DD"/>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72C"/>
    <w:rsid w:val="00CF085C"/>
    <w:rsid w:val="00CF2260"/>
    <w:rsid w:val="00CF5EA0"/>
    <w:rsid w:val="00CF68F8"/>
    <w:rsid w:val="00CF69CC"/>
    <w:rsid w:val="00CF7212"/>
    <w:rsid w:val="00CF7A90"/>
    <w:rsid w:val="00D01D21"/>
    <w:rsid w:val="00D07346"/>
    <w:rsid w:val="00D11341"/>
    <w:rsid w:val="00D1260D"/>
    <w:rsid w:val="00D17C53"/>
    <w:rsid w:val="00D17E30"/>
    <w:rsid w:val="00D20A46"/>
    <w:rsid w:val="00D217EE"/>
    <w:rsid w:val="00D318C2"/>
    <w:rsid w:val="00D34AF0"/>
    <w:rsid w:val="00D361BD"/>
    <w:rsid w:val="00D3798A"/>
    <w:rsid w:val="00D456C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D0C7E"/>
    <w:rsid w:val="00ED0F69"/>
    <w:rsid w:val="00ED7AD7"/>
    <w:rsid w:val="00EE0BB4"/>
    <w:rsid w:val="00EE1E48"/>
    <w:rsid w:val="00EE5838"/>
    <w:rsid w:val="00EE679E"/>
    <w:rsid w:val="00EE798A"/>
    <w:rsid w:val="00EF061B"/>
    <w:rsid w:val="00EF3BBF"/>
    <w:rsid w:val="00EF6FB8"/>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2022-04-18T10:06:00Z</dcterms:created>
  <dcterms:modified xsi:type="dcterms:W3CDTF">2022-04-18T10:40:00Z</dcterms:modified>
</cp:coreProperties>
</file>