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32CAF9B1" w:rsidR="00D848E2" w:rsidRPr="000E3F52" w:rsidRDefault="003160B5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D47E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7B4BC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24CB32E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3160B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11FF9B22" w:rsidR="00D848E2" w:rsidRPr="00AD258C" w:rsidRDefault="00C219D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KONU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A3CAF80" w:rsidR="00D848E2" w:rsidRPr="00033EA0" w:rsidRDefault="00F67EDD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Ek Kurumlar Vergisi Getirildi.</w:t>
            </w:r>
          </w:p>
        </w:tc>
      </w:tr>
    </w:tbl>
    <w:p w14:paraId="6FDC6FE6" w14:textId="7E951E43" w:rsidR="009E3AC9" w:rsidRDefault="009E3AC9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9E3AC9">
        <w:rPr>
          <w:b/>
          <w:bCs/>
        </w:rPr>
        <w:t xml:space="preserve">12/3/2023 tarih ve 32130 sayılı </w:t>
      </w:r>
      <w:proofErr w:type="gramStart"/>
      <w:r w:rsidRPr="009E3AC9">
        <w:rPr>
          <w:b/>
          <w:bCs/>
        </w:rPr>
        <w:t>Resmi</w:t>
      </w:r>
      <w:proofErr w:type="gramEnd"/>
      <w:r w:rsidRPr="009E3AC9">
        <w:rPr>
          <w:b/>
          <w:bCs/>
        </w:rPr>
        <w:t xml:space="preserve"> Gazetede yayımlanan</w:t>
      </w:r>
      <w:r>
        <w:rPr>
          <w:b/>
          <w:bCs/>
        </w:rPr>
        <w:t xml:space="preserve"> 7440 Sayılı Bazı Alacakların Yeniden Yapılandırılması İle Bazı Kanunlarda Değişiklik Yapılmasına Dair Kanun’un </w:t>
      </w:r>
    </w:p>
    <w:p w14:paraId="69B96A90" w14:textId="39B6DC89" w:rsidR="009E3AC9" w:rsidRDefault="009E3AC9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proofErr w:type="gramStart"/>
      <w:r>
        <w:rPr>
          <w:b/>
          <w:bCs/>
        </w:rPr>
        <w:t>1</w:t>
      </w:r>
      <w:r w:rsidRPr="009E3AC9">
        <w:rPr>
          <w:b/>
          <w:bCs/>
        </w:rPr>
        <w:t>0  uncu</w:t>
      </w:r>
      <w:proofErr w:type="gramEnd"/>
      <w:r w:rsidRPr="009E3AC9">
        <w:rPr>
          <w:b/>
          <w:bCs/>
        </w:rPr>
        <w:t xml:space="preserve"> maddesinin 27 No.lu fıkrası ile kurumlar vergisi mükelleflerine ek vergi getirilmiştir.</w:t>
      </w:r>
    </w:p>
    <w:p w14:paraId="3CB31662" w14:textId="4525A3BB" w:rsidR="00BD47E5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t>2022 yılına ilişkin kurumlar vergisi beyannamesinde gösterilmek suretiyle, 5520 sayılı Kanun ile diğer kanunlarda yer alan düzenlemeler uyarınca kurum kazancından indirim konusu yapılan istisna ve indirim tutarları</w:t>
      </w:r>
      <w:r>
        <w:t xml:space="preserve"> </w:t>
      </w:r>
      <w:r w:rsidRPr="00F67EDD">
        <w:t xml:space="preserve">ile  aynı  Kanunun  32/A  maddesi  kapsamında indirimli  kurumlar  vergisine  tabi matrahları üzerinden, dönem kazancı ile ilişkilendirilmeksizin %10 oranında; 5520 sayılı Kanunun 5 inci maddesinin birinci fıkrasının (a) bendinde düzenlenen istisna ile yurt dışından elde edilen ve en az %15 oranında vergi yükü taşıdığı tevsik edilen </w:t>
      </w:r>
      <w:proofErr w:type="gramStart"/>
      <w:r w:rsidRPr="00F67EDD">
        <w:t>istisna</w:t>
      </w:r>
      <w:proofErr w:type="gramEnd"/>
      <w:r w:rsidRPr="00F67EDD">
        <w:t xml:space="preserve"> kazançlar üzerinden ise %5 oranında</w:t>
      </w:r>
      <w:r>
        <w:t xml:space="preserve"> </w:t>
      </w:r>
      <w:r w:rsidRPr="00F67EDD">
        <w:t>ek  vergi hesaplanmasına yönelik düzenleme</w:t>
      </w:r>
      <w:r>
        <w:t xml:space="preserve"> </w:t>
      </w:r>
      <w:r w:rsidRPr="00F67EDD">
        <w:t>yapılmıştır</w:t>
      </w:r>
      <w:r>
        <w:t>.</w:t>
      </w:r>
    </w:p>
    <w:p w14:paraId="50071BCB" w14:textId="3BC212F0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1F5D5303" w14:textId="1BC3DFCC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t>Bu verginin ilk taksiti kurumlar vergisinin ödeme süresi içinde, ikinci taksiti bu süreyi takip eden dördüncü ayda ödenecektir</w:t>
      </w:r>
      <w:r>
        <w:t>.</w:t>
      </w:r>
    </w:p>
    <w:p w14:paraId="446D67AE" w14:textId="77777777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581FEE11" w14:textId="1CECC6E9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t>Özel hesap dönemi tayin edilen mükelleflerde bu vergi, 2023 yılı içinde sona eren hesap dönemi için verilmesi gereken beyannamelerde gösterilmek suretiyle uygulanacaktır</w:t>
      </w:r>
      <w:r>
        <w:t>.</w:t>
      </w:r>
    </w:p>
    <w:p w14:paraId="4297AC31" w14:textId="77777777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415A95D1" w14:textId="4B325801" w:rsidR="004C5338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t>Bu vergi gider ve indirim olarak dikkate alınamayacak ve hiçbir vergiden mahsup edilemeyecektir.</w:t>
      </w:r>
      <w:r>
        <w:t xml:space="preserve"> </w:t>
      </w:r>
    </w:p>
    <w:p w14:paraId="6566F979" w14:textId="77777777" w:rsidR="004C5338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45D26A61" w14:textId="78AA891A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t>Aşağıdaki istisnalar için bu vergi hesaplanmayacaktır.</w:t>
      </w:r>
    </w:p>
    <w:p w14:paraId="2DECD5DB" w14:textId="77777777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rPr>
          <w:rFonts w:ascii="Cambria Math" w:hAnsi="Cambria Math" w:cs="Cambria Math"/>
        </w:rPr>
        <w:t>⎯</w:t>
      </w:r>
      <w:r w:rsidRPr="00F67EDD">
        <w:t>Türkiye'de kurulu fonlar ile</w:t>
      </w:r>
      <w:r>
        <w:t xml:space="preserve"> </w:t>
      </w:r>
      <w:r w:rsidRPr="00F67EDD">
        <w:t>yatırım ortaklıklarının kazançlarına ilişkin istisna</w:t>
      </w:r>
    </w:p>
    <w:p w14:paraId="11920189" w14:textId="77777777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rPr>
          <w:rFonts w:ascii="Cambria Math" w:hAnsi="Cambria Math" w:cs="Cambria Math"/>
        </w:rPr>
        <w:t>⎯</w:t>
      </w:r>
      <w:proofErr w:type="spellStart"/>
      <w:r w:rsidRPr="00F67EDD">
        <w:t>Risturn</w:t>
      </w:r>
      <w:proofErr w:type="spellEnd"/>
      <w:r w:rsidRPr="00F67EDD">
        <w:t xml:space="preserve"> İstisnası</w:t>
      </w:r>
    </w:p>
    <w:p w14:paraId="3D6F5659" w14:textId="77777777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rPr>
          <w:rFonts w:ascii="Cambria Math" w:hAnsi="Cambria Math" w:cs="Cambria Math"/>
        </w:rPr>
        <w:t>⎯</w:t>
      </w:r>
      <w:r w:rsidRPr="00F67EDD">
        <w:t>Sat-kirala-geri al işlemlerinden doğan kazançlarda istisna</w:t>
      </w:r>
    </w:p>
    <w:p w14:paraId="6F1B259A" w14:textId="77777777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rPr>
          <w:rFonts w:ascii="Cambria Math" w:hAnsi="Cambria Math" w:cs="Cambria Math"/>
        </w:rPr>
        <w:t>⎯</w:t>
      </w:r>
      <w:r w:rsidRPr="00F67EDD">
        <w:t>Kira sertifikası ihracı amacıyla her türlü varlık ve hakların satışından doğan kazançlarda istisna</w:t>
      </w:r>
    </w:p>
    <w:p w14:paraId="231054C1" w14:textId="7F7E8272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F67EDD">
        <w:rPr>
          <w:rFonts w:ascii="Cambria Math" w:hAnsi="Cambria Math" w:cs="Cambria Math"/>
        </w:rPr>
        <w:t>⎯</w:t>
      </w:r>
      <w:proofErr w:type="gramStart"/>
      <w:r w:rsidRPr="00F67EDD">
        <w:t>Yabancı  paraların</w:t>
      </w:r>
      <w:proofErr w:type="gramEnd"/>
      <w:r w:rsidRPr="00F67EDD">
        <w:t xml:space="preserve">  ve  altın  hesaplarının Türk  Lirası  mevduat ve  katılma  hesaplarına dönüştürülmesinden elde edilen kazançlara ilişkin istisna</w:t>
      </w:r>
      <w:r>
        <w:t>.</w:t>
      </w:r>
    </w:p>
    <w:p w14:paraId="75207161" w14:textId="77777777" w:rsidR="004C5338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27CFB20E" w14:textId="6670169D" w:rsidR="004C5338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4C5338">
        <w:t>Aşağıdaki indirimler için bu vergi hesaplanmayacaktır</w:t>
      </w:r>
    </w:p>
    <w:p w14:paraId="0D7A281C" w14:textId="77777777" w:rsidR="004C5338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proofErr w:type="gramStart"/>
      <w:r w:rsidRPr="004C5338">
        <w:t>.</w:t>
      </w:r>
      <w:r w:rsidRPr="004C5338">
        <w:rPr>
          <w:rFonts w:ascii="Cambria Math" w:hAnsi="Cambria Math" w:cs="Cambria Math"/>
        </w:rPr>
        <w:t>⎯</w:t>
      </w:r>
      <w:proofErr w:type="gramEnd"/>
      <w:r w:rsidRPr="004C5338">
        <w:t>Sponsorluk harcamaları</w:t>
      </w:r>
    </w:p>
    <w:p w14:paraId="102B1A4C" w14:textId="77777777" w:rsidR="004C5338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4C5338">
        <w:rPr>
          <w:rFonts w:ascii="Cambria Math" w:hAnsi="Cambria Math" w:cs="Cambria Math"/>
        </w:rPr>
        <w:lastRenderedPageBreak/>
        <w:t>⎯</w:t>
      </w:r>
      <w:r w:rsidRPr="004C5338">
        <w:t xml:space="preserve">Kurum kazancının </w:t>
      </w:r>
      <w:proofErr w:type="gramStart"/>
      <w:r w:rsidRPr="004C5338">
        <w:t>%5</w:t>
      </w:r>
      <w:proofErr w:type="gramEnd"/>
      <w:r w:rsidRPr="004C5338">
        <w:t>’i ile sınırlı bağış ve yardımlar</w:t>
      </w:r>
    </w:p>
    <w:p w14:paraId="53C923D2" w14:textId="77777777" w:rsidR="004C5338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4C5338">
        <w:rPr>
          <w:rFonts w:ascii="Cambria Math" w:hAnsi="Cambria Math" w:cs="Cambria Math"/>
        </w:rPr>
        <w:t>⎯</w:t>
      </w:r>
      <w:r w:rsidRPr="004C5338">
        <w:t>Eğitim</w:t>
      </w:r>
      <w:r>
        <w:t xml:space="preserve"> </w:t>
      </w:r>
      <w:r w:rsidRPr="004C5338">
        <w:t>ve sağlık tesisleri ile dini tesislere ilişkin bağış ve yardımlar</w:t>
      </w:r>
    </w:p>
    <w:p w14:paraId="0797C215" w14:textId="710479FF" w:rsidR="00F67EDD" w:rsidRDefault="004C533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4C5338">
        <w:rPr>
          <w:rFonts w:ascii="Cambria Math" w:hAnsi="Cambria Math" w:cs="Cambria Math"/>
        </w:rPr>
        <w:t>⎯</w:t>
      </w:r>
      <w:r w:rsidRPr="004C5338">
        <w:t>Kültür ve turizm amaçlı bağış ve yardımlar</w:t>
      </w:r>
    </w:p>
    <w:p w14:paraId="1C55CA4E" w14:textId="77777777" w:rsidR="00AD3FA8" w:rsidRDefault="00AD3FA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D3FA8">
        <w:t>Cumhurbaşkanınca başlatılan yardım kampanyalarına makbuz karşılığı yapılan ayni ve nakdî bağışlar</w:t>
      </w:r>
    </w:p>
    <w:p w14:paraId="5D3A6E1B" w14:textId="77777777" w:rsidR="00AD3FA8" w:rsidRDefault="00AD3FA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D3FA8">
        <w:rPr>
          <w:rFonts w:ascii="Cambria Math" w:hAnsi="Cambria Math" w:cs="Cambria Math"/>
        </w:rPr>
        <w:t>⎯</w:t>
      </w:r>
      <w:r w:rsidRPr="00AD3FA8">
        <w:t>İktisadi işletmeleri hariç, Türkiye Kızılay Derneğine ve Türkiye Yeşilay Cemiyetine makbuz karşılığı yapılan nakdi bağış veya yardımlar</w:t>
      </w:r>
    </w:p>
    <w:p w14:paraId="7FCB54E0" w14:textId="77777777" w:rsidR="00AD3FA8" w:rsidRDefault="00AD3FA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D3FA8">
        <w:rPr>
          <w:rFonts w:ascii="Cambria Math" w:hAnsi="Cambria Math" w:cs="Cambria Math"/>
        </w:rPr>
        <w:t>⎯</w:t>
      </w:r>
      <w:r w:rsidRPr="00AD3FA8">
        <w:t xml:space="preserve">VUK 325/A maddesine göre girişim sermayesi fonu olarak ayrılan tutarların beyan edilen gelirin </w:t>
      </w:r>
      <w:proofErr w:type="gramStart"/>
      <w:r w:rsidRPr="00AD3FA8">
        <w:t>%10</w:t>
      </w:r>
      <w:proofErr w:type="gramEnd"/>
      <w:r w:rsidRPr="00AD3FA8">
        <w:t>’unu aşmayan kısmı</w:t>
      </w:r>
    </w:p>
    <w:p w14:paraId="04D219CB" w14:textId="77777777" w:rsidR="00AD3FA8" w:rsidRDefault="00AD3FA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D3FA8">
        <w:rPr>
          <w:rFonts w:ascii="Cambria Math" w:hAnsi="Cambria Math" w:cs="Cambria Math"/>
        </w:rPr>
        <w:t>⎯</w:t>
      </w:r>
      <w:r w:rsidRPr="00AD3FA8">
        <w:t>korumalı işyeri indirimi</w:t>
      </w:r>
    </w:p>
    <w:p w14:paraId="6A5FFBEC" w14:textId="77777777" w:rsidR="00AD3FA8" w:rsidRDefault="00AD3FA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D3FA8">
        <w:rPr>
          <w:rFonts w:ascii="Cambria Math" w:hAnsi="Cambria Math" w:cs="Cambria Math"/>
        </w:rPr>
        <w:t>⎯</w:t>
      </w:r>
      <w:r w:rsidRPr="00AD3FA8">
        <w:t>ilgili kanunları uyarınca</w:t>
      </w:r>
      <w:r>
        <w:t xml:space="preserve"> </w:t>
      </w:r>
      <w:r w:rsidRPr="00AD3FA8">
        <w:t>kurum kazancından indirilebilen bağış ve yardımlar</w:t>
      </w:r>
    </w:p>
    <w:p w14:paraId="078CAE71" w14:textId="0B342444" w:rsidR="00F67EDD" w:rsidRDefault="00AD3FA8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D3FA8">
        <w:rPr>
          <w:rFonts w:ascii="Cambria Math" w:hAnsi="Cambria Math" w:cs="Cambria Math"/>
        </w:rPr>
        <w:t>⎯</w:t>
      </w:r>
      <w:r w:rsidRPr="00AD3FA8">
        <w:t xml:space="preserve">193 sayılı Kanunun geçici 61 inci maddesi kapsamında </w:t>
      </w:r>
      <w:proofErr w:type="spellStart"/>
      <w:r w:rsidRPr="00AD3FA8">
        <w:t>tevkifata</w:t>
      </w:r>
      <w:proofErr w:type="spellEnd"/>
      <w:r w:rsidRPr="00AD3FA8">
        <w:t xml:space="preserve"> tabi yatırım indirimi istisnası</w:t>
      </w:r>
    </w:p>
    <w:p w14:paraId="7859D383" w14:textId="2E6E5AD2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5A9EE7A7" w14:textId="10303842" w:rsidR="00A13CDD" w:rsidRDefault="00A13C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13CDD">
        <w:t xml:space="preserve">10/7/2018 tarihli ve 1 sayılı Cumhurbaşkanlığı Teşkilatı Hakkında Cumhurbaşkanlığı Kararnamesinin </w:t>
      </w:r>
      <w:proofErr w:type="gramStart"/>
      <w:r w:rsidRPr="00A13CDD">
        <w:t xml:space="preserve">407 </w:t>
      </w:r>
      <w:proofErr w:type="spellStart"/>
      <w:r w:rsidRPr="00A13CDD">
        <w:t>nci</w:t>
      </w:r>
      <w:proofErr w:type="spellEnd"/>
      <w:proofErr w:type="gramEnd"/>
      <w:r w:rsidRPr="00A13CDD">
        <w:t xml:space="preserve"> maddesi kapsamında tanımlanan mikro ve küçük işletmelerin teknoloji geliştirme bölgeleri ile Ar-</w:t>
      </w:r>
      <w:proofErr w:type="spellStart"/>
      <w:r w:rsidRPr="00A13CDD">
        <w:t>ge</w:t>
      </w:r>
      <w:proofErr w:type="spellEnd"/>
      <w:r w:rsidRPr="00A13CDD">
        <w:t xml:space="preserve"> ve tasarım merkezlerinden elde ettikleri istisnaya ve indirime konu kazançları üzerinden bu vergi hesaplanmayacaktır</w:t>
      </w:r>
      <w:r>
        <w:t>.</w:t>
      </w:r>
    </w:p>
    <w:p w14:paraId="0881995C" w14:textId="6EE509BA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63B32452" w14:textId="1C8350E2" w:rsidR="00F67EDD" w:rsidRDefault="00A13C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A13CDD">
        <w:t xml:space="preserve">6/2/2023 tarihi itibarıyla, Adana, Adıyaman, Diyarbakır, </w:t>
      </w:r>
      <w:proofErr w:type="gramStart"/>
      <w:r w:rsidRPr="00A13CDD">
        <w:t>Elazığ</w:t>
      </w:r>
      <w:proofErr w:type="gramEnd"/>
      <w:r w:rsidRPr="00A13CDD">
        <w:t>, Gaziantep, Hatay, Kahramanmaraş, Kilis, Malatya, Osmaniye ve Şanlıurfa illeri ile Sivas İlinin Gürün İlçesinde kurumlar vergisi mükellefiyeti bulunanlar ek vergiden muaftır</w:t>
      </w:r>
      <w:r>
        <w:t>.</w:t>
      </w:r>
    </w:p>
    <w:p w14:paraId="17B8FEDD" w14:textId="2F162C25" w:rsidR="00F67EDD" w:rsidRDefault="00F67EDD" w:rsidP="007568BF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55232E51" w14:textId="1CA0ECB5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4E7F0922" w:rsidR="00191602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p w14:paraId="7A8E36AA" w14:textId="3CD40561" w:rsidR="006339BB" w:rsidRDefault="006339BB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339BB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822F" w14:textId="77777777" w:rsidR="00F84182" w:rsidRDefault="00F84182" w:rsidP="006A7CD4">
      <w:r>
        <w:separator/>
      </w:r>
    </w:p>
  </w:endnote>
  <w:endnote w:type="continuationSeparator" w:id="0">
    <w:p w14:paraId="08AF0B03" w14:textId="77777777" w:rsidR="00F84182" w:rsidRDefault="00F8418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ABB7" w14:textId="77777777" w:rsidR="00F84182" w:rsidRDefault="00F84182" w:rsidP="006A7CD4">
      <w:r>
        <w:separator/>
      </w:r>
    </w:p>
  </w:footnote>
  <w:footnote w:type="continuationSeparator" w:id="0">
    <w:p w14:paraId="27A97A9E" w14:textId="77777777" w:rsidR="00F84182" w:rsidRDefault="00F8418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0927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4178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0620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2014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0B5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AF2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5338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67E4A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267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39BB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45AF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5AD4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4F58"/>
    <w:rsid w:val="007A70C7"/>
    <w:rsid w:val="007B11A6"/>
    <w:rsid w:val="007B4BC1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166F0"/>
    <w:rsid w:val="008213D9"/>
    <w:rsid w:val="008243FB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3AC9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3CDD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3FA8"/>
    <w:rsid w:val="00AD639B"/>
    <w:rsid w:val="00AD7B68"/>
    <w:rsid w:val="00AE1413"/>
    <w:rsid w:val="00AF0BAC"/>
    <w:rsid w:val="00AF1AE9"/>
    <w:rsid w:val="00AF494F"/>
    <w:rsid w:val="00AF4F15"/>
    <w:rsid w:val="00AF7EDB"/>
    <w:rsid w:val="00B01157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606E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47E5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17CB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219D2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236B"/>
    <w:rsid w:val="00E4316B"/>
    <w:rsid w:val="00E44038"/>
    <w:rsid w:val="00E45AC0"/>
    <w:rsid w:val="00E46FED"/>
    <w:rsid w:val="00E524A1"/>
    <w:rsid w:val="00E55786"/>
    <w:rsid w:val="00E602E1"/>
    <w:rsid w:val="00E63179"/>
    <w:rsid w:val="00E6480B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67EDD"/>
    <w:rsid w:val="00F72193"/>
    <w:rsid w:val="00F7516A"/>
    <w:rsid w:val="00F81233"/>
    <w:rsid w:val="00F81678"/>
    <w:rsid w:val="00F84182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0FC9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2022-12-26T09:26:00Z</cp:lastPrinted>
  <dcterms:created xsi:type="dcterms:W3CDTF">2023-03-15T14:12:00Z</dcterms:created>
  <dcterms:modified xsi:type="dcterms:W3CDTF">2023-03-15T14:32:00Z</dcterms:modified>
</cp:coreProperties>
</file>